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F6816" w14:textId="3FF91A81" w:rsidR="00BC28CE" w:rsidRDefault="00000000" w:rsidP="005D1B03">
      <w:pPr>
        <w:jc w:val="center"/>
      </w:pPr>
      <w:r>
        <w:rPr>
          <w:noProof/>
        </w:rPr>
        <w:drawing>
          <wp:inline distT="0" distB="0" distL="0" distR="0" wp14:anchorId="7E1AF660" wp14:editId="07AD1449">
            <wp:extent cx="2916936" cy="6035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8" cstate="print"/>
                    <a:stretch>
                      <a:fillRect/>
                    </a:stretch>
                  </pic:blipFill>
                  <pic:spPr bwMode="auto">
                    <a:xfrm>
                      <a:off x="0" y="0"/>
                      <a:ext cx="40513" cy="8382"/>
                    </a:xfrm>
                    <a:prstGeom prst="rect">
                      <a:avLst/>
                    </a:prstGeom>
                    <a:noFill/>
                  </pic:spPr>
                </pic:pic>
              </a:graphicData>
            </a:graphic>
          </wp:inline>
        </w:drawing>
      </w:r>
    </w:p>
    <w:p w14:paraId="5558EFEE" w14:textId="164DCC92" w:rsidR="00BC28CE" w:rsidRDefault="00BC28CE"/>
    <w:p w14:paraId="4FF9526E" w14:textId="1C0DF7E1" w:rsidR="00BC28CE" w:rsidRDefault="00000000">
      <w:pPr>
        <w:pBdr>
          <w:top w:val="none" w:sz="0" w:space="0" w:color="000000"/>
          <w:left w:val="none" w:sz="0" w:space="0" w:color="000000"/>
          <w:bottom w:val="none" w:sz="0" w:space="0" w:color="000000"/>
          <w:right w:val="none" w:sz="0" w:space="0" w:color="000000"/>
        </w:pBdr>
        <w:spacing w:before="0" w:after="0"/>
        <w:jc w:val="center"/>
      </w:pPr>
      <w:r>
        <w:rPr>
          <w:rFonts w:ascii="Arial" w:eastAsia="Arial" w:hAnsi="Arial" w:cs="Arial"/>
          <w:b/>
          <w:color w:val="000000"/>
          <w:sz w:val="40"/>
          <w:szCs w:val="40"/>
        </w:rPr>
        <w:t>SMART+ Survey Report</w:t>
      </w:r>
    </w:p>
    <w:p w14:paraId="2ADC1F0D" w14:textId="3FBC838B" w:rsidR="00BC28CE" w:rsidRDefault="00BC28CE"/>
    <w:p w14:paraId="59A00E70" w14:textId="71AE18D6" w:rsidR="00BC28CE" w:rsidRDefault="00000000">
      <w:pPr>
        <w:pStyle w:val="OrangeTitle"/>
      </w:pPr>
      <w:r>
        <w:t>AAH,01-</w:t>
      </w:r>
      <w:proofErr w:type="gramStart"/>
      <w:r>
        <w:t>2024,LilianK</w:t>
      </w:r>
      <w:proofErr w:type="gramEnd"/>
    </w:p>
    <w:p w14:paraId="6C56BAEC" w14:textId="12579413" w:rsidR="00BC28CE" w:rsidRDefault="00000000">
      <w:pPr>
        <w:pStyle w:val="OrangeTitle"/>
      </w:pPr>
      <w:r>
        <w:t>Isiolo County, Kenya</w:t>
      </w:r>
    </w:p>
    <w:p w14:paraId="564DE093" w14:textId="0256CF32" w:rsidR="00BC28CE" w:rsidRDefault="00000000">
      <w:pPr>
        <w:pStyle w:val="OrangeTitle"/>
      </w:pPr>
      <w:r>
        <w:t>January 2024</w:t>
      </w:r>
    </w:p>
    <w:p w14:paraId="04AD5686" w14:textId="1FAACB17" w:rsidR="00BC28CE" w:rsidRDefault="00000000">
      <w:pPr>
        <w:pStyle w:val="OrangeTitle"/>
      </w:pPr>
      <w:r>
        <w:t>Full Smart</w:t>
      </w:r>
    </w:p>
    <w:p w14:paraId="08DD1478" w14:textId="2EA78E7C" w:rsidR="00BC28CE" w:rsidRDefault="00000000">
      <w:pPr>
        <w:pStyle w:val="OrangeTitle"/>
      </w:pPr>
      <w:r>
        <w:t>Validated</w:t>
      </w:r>
    </w:p>
    <w:p w14:paraId="24670581" w14:textId="7E19591D" w:rsidR="00BC28CE" w:rsidRDefault="00000000">
      <w:pPr>
        <w:pBdr>
          <w:top w:val="none" w:sz="0" w:space="0" w:color="000000"/>
          <w:left w:val="none" w:sz="0" w:space="0" w:color="000000"/>
          <w:bottom w:val="none" w:sz="0" w:space="0" w:color="000000"/>
          <w:right w:val="none" w:sz="0" w:space="0" w:color="000000"/>
        </w:pBdr>
        <w:spacing w:before="0" w:after="0"/>
        <w:jc w:val="center"/>
      </w:pPr>
      <w:r>
        <w:rPr>
          <w:rFonts w:eastAsia="Nexa Light" w:cs="Nexa Light"/>
          <w:b/>
          <w:color w:val="EF8300"/>
          <w:sz w:val="28"/>
          <w:szCs w:val="28"/>
        </w:rPr>
        <w:t>Funded by:</w:t>
      </w:r>
      <w:r>
        <w:rPr>
          <w:rFonts w:eastAsia="Nexa Light" w:cs="Nexa Light"/>
          <w:b/>
          <w:color w:val="000000"/>
          <w:sz w:val="28"/>
          <w:szCs w:val="28"/>
        </w:rPr>
        <w:t xml:space="preserve"> Agency Name(s)</w:t>
      </w:r>
    </w:p>
    <w:p w14:paraId="1F4AEB66" w14:textId="64744EEE" w:rsidR="00BC28CE" w:rsidRDefault="00000000">
      <w:pPr>
        <w:pBdr>
          <w:top w:val="none" w:sz="0" w:space="0" w:color="000000"/>
          <w:left w:val="none" w:sz="0" w:space="0" w:color="000000"/>
          <w:bottom w:val="none" w:sz="0" w:space="0" w:color="000000"/>
          <w:right w:val="none" w:sz="0" w:space="0" w:color="000000"/>
        </w:pBdr>
        <w:spacing w:before="0" w:after="0"/>
        <w:jc w:val="center"/>
      </w:pPr>
      <w:r>
        <w:rPr>
          <w:rFonts w:eastAsia="Nexa Light" w:cs="Nexa Light"/>
          <w:b/>
          <w:color w:val="EF8300"/>
          <w:sz w:val="28"/>
          <w:szCs w:val="28"/>
        </w:rPr>
        <w:t>Assessment Coordinated by:</w:t>
      </w:r>
      <w:r>
        <w:rPr>
          <w:rFonts w:eastAsia="Nexa Light" w:cs="Nexa Light"/>
          <w:b/>
          <w:color w:val="000000"/>
          <w:sz w:val="28"/>
          <w:szCs w:val="28"/>
        </w:rPr>
        <w:t xml:space="preserve"> </w:t>
      </w:r>
      <w:r w:rsidR="005D1B03" w:rsidRPr="005D1B03">
        <w:rPr>
          <w:rFonts w:eastAsia="Nexa Light" w:cs="Nexa Light"/>
          <w:b/>
          <w:color w:val="000000"/>
          <w:sz w:val="28"/>
          <w:szCs w:val="28"/>
        </w:rPr>
        <w:t>Saida Abdirahman</w:t>
      </w:r>
      <w:r w:rsidR="005D1B03">
        <w:rPr>
          <w:rFonts w:eastAsia="Nexa Light" w:cs="Nexa Light"/>
          <w:b/>
          <w:i/>
          <w:color w:val="000000"/>
          <w:sz w:val="28"/>
          <w:szCs w:val="28"/>
        </w:rPr>
        <w:t xml:space="preserve"> (Isiolo County Nutrition Coordinator), Lilian Kaindi</w:t>
      </w:r>
      <w:r w:rsidR="00A43D88">
        <w:rPr>
          <w:rFonts w:eastAsia="Nexa Light" w:cs="Nexa Light"/>
          <w:b/>
          <w:i/>
          <w:color w:val="000000"/>
          <w:sz w:val="28"/>
          <w:szCs w:val="28"/>
        </w:rPr>
        <w:t xml:space="preserve"> (Survey Manager- ACF)</w:t>
      </w:r>
    </w:p>
    <w:p w14:paraId="1835711D" w14:textId="50BADB45" w:rsidR="00BC28CE" w:rsidRDefault="00000000">
      <w:pPr>
        <w:pBdr>
          <w:top w:val="none" w:sz="0" w:space="0" w:color="000000"/>
          <w:left w:val="none" w:sz="0" w:space="0" w:color="000000"/>
          <w:bottom w:val="none" w:sz="0" w:space="0" w:color="000000"/>
          <w:right w:val="none" w:sz="0" w:space="0" w:color="000000"/>
        </w:pBdr>
        <w:spacing w:before="0" w:after="0"/>
        <w:jc w:val="center"/>
      </w:pPr>
      <w:r>
        <w:rPr>
          <w:rFonts w:eastAsia="Nexa Light" w:cs="Nexa Light"/>
          <w:b/>
          <w:color w:val="EF8300"/>
          <w:sz w:val="28"/>
          <w:szCs w:val="28"/>
        </w:rPr>
        <w:t>Technically Supported by:</w:t>
      </w:r>
      <w:r>
        <w:rPr>
          <w:rFonts w:eastAsia="Nexa Light" w:cs="Nexa Light"/>
          <w:b/>
          <w:color w:val="000000"/>
          <w:sz w:val="28"/>
          <w:szCs w:val="28"/>
        </w:rPr>
        <w:t xml:space="preserve"> </w:t>
      </w:r>
      <w:r w:rsidR="005D1B03">
        <w:rPr>
          <w:rFonts w:eastAsia="Nexa Light" w:cs="Nexa Light"/>
          <w:b/>
          <w:i/>
          <w:color w:val="000000"/>
          <w:sz w:val="28"/>
          <w:szCs w:val="28"/>
        </w:rPr>
        <w:t>Nutrition Information Technical Working Group, AAH Canada</w:t>
      </w:r>
    </w:p>
    <w:p w14:paraId="55411CD5" w14:textId="1297E970" w:rsidR="00BC28CE" w:rsidRDefault="00000000">
      <w:r>
        <w:t xml:space="preserve">   </w:t>
      </w:r>
    </w:p>
    <w:p w14:paraId="05AC7FA8" w14:textId="4F5A2504" w:rsidR="00BC28CE" w:rsidRDefault="00EF68D0">
      <w:r>
        <w:rPr>
          <w:noProof/>
        </w:rPr>
        <w:drawing>
          <wp:anchor distT="0" distB="0" distL="114300" distR="114300" simplePos="0" relativeHeight="251663360" behindDoc="0" locked="0" layoutInCell="1" allowOverlap="1" wp14:anchorId="7D266335" wp14:editId="58A0815D">
            <wp:simplePos x="0" y="0"/>
            <wp:positionH relativeFrom="column">
              <wp:posOffset>4072890</wp:posOffset>
            </wp:positionH>
            <wp:positionV relativeFrom="paragraph">
              <wp:posOffset>1478280</wp:posOffset>
            </wp:positionV>
            <wp:extent cx="1828800" cy="649292"/>
            <wp:effectExtent l="0" t="0" r="0" b="0"/>
            <wp:wrapNone/>
            <wp:docPr id="1308922310" name="Picture 10" descr="A logo of a globe&#10;&#10;Description automatically generated">
              <a:extLst xmlns:a="http://schemas.openxmlformats.org/drawingml/2006/main">
                <a:ext uri="{FF2B5EF4-FFF2-40B4-BE49-F238E27FC236}">
                  <a16:creationId xmlns:a16="http://schemas.microsoft.com/office/drawing/2014/main" id="{68D01C5C-67AB-771A-0DDC-E7B93C83F5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logo of a globe&#10;&#10;Description automatically generated">
                      <a:extLst>
                        <a:ext uri="{FF2B5EF4-FFF2-40B4-BE49-F238E27FC236}">
                          <a16:creationId xmlns:a16="http://schemas.microsoft.com/office/drawing/2014/main" id="{68D01C5C-67AB-771A-0DDC-E7B93C83F5A2}"/>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0" cy="64929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9E708CE" wp14:editId="5A849DFE">
            <wp:simplePos x="0" y="0"/>
            <wp:positionH relativeFrom="column">
              <wp:posOffset>2020221</wp:posOffset>
            </wp:positionH>
            <wp:positionV relativeFrom="paragraph">
              <wp:posOffset>1350010</wp:posOffset>
            </wp:positionV>
            <wp:extent cx="1524000" cy="777710"/>
            <wp:effectExtent l="0" t="0" r="0" b="3810"/>
            <wp:wrapNone/>
            <wp:docPr id="1047722171" name="Picture 2" descr="A blue and orange text on a black background&#10;&#10;Description automatically generated">
              <a:extLst xmlns:a="http://schemas.openxmlformats.org/drawingml/2006/main">
                <a:ext uri="{FF2B5EF4-FFF2-40B4-BE49-F238E27FC236}">
                  <a16:creationId xmlns:a16="http://schemas.microsoft.com/office/drawing/2014/main" id="{38E85855-2AE8-4FB4-6E1E-CE543A70B1F8}"/>
                </a:ext>
              </a:extLst>
            </wp:docPr>
            <wp:cNvGraphicFramePr/>
            <a:graphic xmlns:a="http://schemas.openxmlformats.org/drawingml/2006/main">
              <a:graphicData uri="http://schemas.openxmlformats.org/drawingml/2006/picture">
                <pic:pic xmlns:pic="http://schemas.openxmlformats.org/drawingml/2006/picture">
                  <pic:nvPicPr>
                    <pic:cNvPr id="1047722171" name="Picture 2" descr="A blue and orange text on a black background&#10;&#10;Description automatically generated">
                      <a:extLst>
                        <a:ext uri="{FF2B5EF4-FFF2-40B4-BE49-F238E27FC236}">
                          <a16:creationId xmlns:a16="http://schemas.microsoft.com/office/drawing/2014/main" id="{38E85855-2AE8-4FB4-6E1E-CE543A70B1F8}"/>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77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8D0">
        <w:drawing>
          <wp:anchor distT="0" distB="0" distL="114300" distR="114300" simplePos="0" relativeHeight="251666432" behindDoc="0" locked="0" layoutInCell="1" allowOverlap="1" wp14:anchorId="4D7376B3" wp14:editId="2B75344F">
            <wp:simplePos x="0" y="0"/>
            <wp:positionH relativeFrom="column">
              <wp:posOffset>1708785</wp:posOffset>
            </wp:positionH>
            <wp:positionV relativeFrom="paragraph">
              <wp:posOffset>2807335</wp:posOffset>
            </wp:positionV>
            <wp:extent cx="1685925" cy="641271"/>
            <wp:effectExtent l="0" t="0" r="0" b="6985"/>
            <wp:wrapNone/>
            <wp:docPr id="106126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62985" name=""/>
                    <pic:cNvPicPr/>
                  </pic:nvPicPr>
                  <pic:blipFill>
                    <a:blip r:embed="rId11">
                      <a:extLst>
                        <a:ext uri="{28A0092B-C50C-407E-A947-70E740481C1C}">
                          <a14:useLocalDpi xmlns:a14="http://schemas.microsoft.com/office/drawing/2010/main" val="0"/>
                        </a:ext>
                      </a:extLst>
                    </a:blip>
                    <a:stretch>
                      <a:fillRect/>
                    </a:stretch>
                  </pic:blipFill>
                  <pic:spPr>
                    <a:xfrm>
                      <a:off x="0" y="0"/>
                      <a:ext cx="1685925" cy="64127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3FF7C958" wp14:editId="2B7AC3F4">
            <wp:simplePos x="0" y="0"/>
            <wp:positionH relativeFrom="column">
              <wp:posOffset>3543300</wp:posOffset>
            </wp:positionH>
            <wp:positionV relativeFrom="paragraph">
              <wp:posOffset>2864994</wp:posOffset>
            </wp:positionV>
            <wp:extent cx="2408615" cy="589406"/>
            <wp:effectExtent l="0" t="0" r="0" b="0"/>
            <wp:wrapNone/>
            <wp:docPr id="14" name="Picture 13" descr="A black and blue logo&#10;&#10;Description automatically generated">
              <a:extLst xmlns:a="http://schemas.openxmlformats.org/drawingml/2006/main">
                <a:ext uri="{FF2B5EF4-FFF2-40B4-BE49-F238E27FC236}">
                  <a16:creationId xmlns:a16="http://schemas.microsoft.com/office/drawing/2014/main" id="{427C8514-B443-457D-F37E-D7FABCF578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black and blue logo&#10;&#10;Description automatically generated">
                      <a:extLst>
                        <a:ext uri="{FF2B5EF4-FFF2-40B4-BE49-F238E27FC236}">
                          <a16:creationId xmlns:a16="http://schemas.microsoft.com/office/drawing/2014/main" id="{427C8514-B443-457D-F37E-D7FABCF5781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6230" cy="591269"/>
                    </a:xfrm>
                    <a:prstGeom prst="rect">
                      <a:avLst/>
                    </a:prstGeom>
                  </pic:spPr>
                </pic:pic>
              </a:graphicData>
            </a:graphic>
            <wp14:sizeRelH relativeFrom="margin">
              <wp14:pctWidth>0</wp14:pctWidth>
            </wp14:sizeRelH>
            <wp14:sizeRelV relativeFrom="margin">
              <wp14:pctHeight>0</wp14:pctHeight>
            </wp14:sizeRelV>
          </wp:anchor>
        </w:drawing>
      </w:r>
      <w:r w:rsidR="00822E50">
        <w:rPr>
          <w:noProof/>
        </w:rPr>
        <w:drawing>
          <wp:anchor distT="0" distB="0" distL="114300" distR="114300" simplePos="0" relativeHeight="251664384" behindDoc="0" locked="0" layoutInCell="1" allowOverlap="1" wp14:anchorId="17A7171B" wp14:editId="21FBEC0E">
            <wp:simplePos x="0" y="0"/>
            <wp:positionH relativeFrom="column">
              <wp:posOffset>114300</wp:posOffset>
            </wp:positionH>
            <wp:positionV relativeFrom="paragraph">
              <wp:posOffset>2337435</wp:posOffset>
            </wp:positionV>
            <wp:extent cx="1314450" cy="1066165"/>
            <wp:effectExtent l="0" t="0" r="0" b="635"/>
            <wp:wrapNone/>
            <wp:docPr id="1445983865" name="Content Placeholder 3" descr="Logo&#10;&#10;Description automatically generated">
              <a:extLst xmlns:a="http://schemas.openxmlformats.org/drawingml/2006/main">
                <a:ext uri="{FF2B5EF4-FFF2-40B4-BE49-F238E27FC236}">
                  <a16:creationId xmlns:a16="http://schemas.microsoft.com/office/drawing/2014/main" id="{A3AC91C6-C210-E988-92C1-FC3A1C2E5EC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3" descr="Logo&#10;&#10;Description automatically generated">
                      <a:extLst>
                        <a:ext uri="{FF2B5EF4-FFF2-40B4-BE49-F238E27FC236}">
                          <a16:creationId xmlns:a16="http://schemas.microsoft.com/office/drawing/2014/main" id="{A3AC91C6-C210-E988-92C1-FC3A1C2E5EC4}"/>
                        </a:ext>
                      </a:extLst>
                    </pic:cNvPr>
                    <pic:cNvPicPr>
                      <a:picLocks noGrp="1"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4450" cy="1066165"/>
                    </a:xfrm>
                    <a:prstGeom prst="rect">
                      <a:avLst/>
                    </a:prstGeom>
                  </pic:spPr>
                </pic:pic>
              </a:graphicData>
            </a:graphic>
            <wp14:sizeRelH relativeFrom="margin">
              <wp14:pctWidth>0</wp14:pctWidth>
            </wp14:sizeRelH>
            <wp14:sizeRelV relativeFrom="margin">
              <wp14:pctHeight>0</wp14:pctHeight>
            </wp14:sizeRelV>
          </wp:anchor>
        </w:drawing>
      </w:r>
      <w:r w:rsidR="00822E50">
        <w:rPr>
          <w:noProof/>
        </w:rPr>
        <w:drawing>
          <wp:anchor distT="0" distB="0" distL="114300" distR="114300" simplePos="0" relativeHeight="251662336" behindDoc="0" locked="0" layoutInCell="1" allowOverlap="1" wp14:anchorId="6EC3AEEF" wp14:editId="0863B4EB">
            <wp:simplePos x="0" y="0"/>
            <wp:positionH relativeFrom="column">
              <wp:posOffset>38735</wp:posOffset>
            </wp:positionH>
            <wp:positionV relativeFrom="paragraph">
              <wp:posOffset>1311910</wp:posOffset>
            </wp:positionV>
            <wp:extent cx="1476375" cy="867383"/>
            <wp:effectExtent l="0" t="0" r="0" b="9525"/>
            <wp:wrapNone/>
            <wp:docPr id="764046675" name="Google Shape;98;p2" descr="A logo with a red cross&#10;&#10;Description automatically generated">
              <a:extLst xmlns:a="http://schemas.openxmlformats.org/drawingml/2006/main">
                <a:ext uri="{FF2B5EF4-FFF2-40B4-BE49-F238E27FC236}">
                  <a16:creationId xmlns:a16="http://schemas.microsoft.com/office/drawing/2014/main" id="{1E5A2E3E-A105-1FF1-9D35-EFA2360124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46675" name="Google Shape;98;p2" descr="A logo with a red cross&#10;&#10;Description automatically generated">
                      <a:extLst>
                        <a:ext uri="{FF2B5EF4-FFF2-40B4-BE49-F238E27FC236}">
                          <a16:creationId xmlns:a16="http://schemas.microsoft.com/office/drawing/2014/main" id="{1E5A2E3E-A105-1FF1-9D35-EFA236012410}"/>
                        </a:ext>
                      </a:extLst>
                    </pic:cNvPr>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6375" cy="8673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E50">
        <w:rPr>
          <w:noProof/>
        </w:rPr>
        <w:drawing>
          <wp:anchor distT="0" distB="0" distL="114300" distR="114300" simplePos="0" relativeHeight="251659264" behindDoc="0" locked="0" layoutInCell="1" allowOverlap="1" wp14:anchorId="354AC622" wp14:editId="2698EFEC">
            <wp:simplePos x="0" y="0"/>
            <wp:positionH relativeFrom="column">
              <wp:posOffset>0</wp:posOffset>
            </wp:positionH>
            <wp:positionV relativeFrom="paragraph">
              <wp:posOffset>170180</wp:posOffset>
            </wp:positionV>
            <wp:extent cx="1699260" cy="913765"/>
            <wp:effectExtent l="0" t="0" r="0" b="635"/>
            <wp:wrapNone/>
            <wp:docPr id="4" name="Picture 1" descr="Screen Clipping">
              <a:extLst xmlns:a="http://schemas.openxmlformats.org/drawingml/2006/main">
                <a:ext uri="{FF2B5EF4-FFF2-40B4-BE49-F238E27FC236}">
                  <a16:creationId xmlns:a16="http://schemas.microsoft.com/office/drawing/2014/main" id="{884BFD2F-D9A3-0891-3EC6-1368A29CB2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Screen Clipping">
                      <a:extLst>
                        <a:ext uri="{FF2B5EF4-FFF2-40B4-BE49-F238E27FC236}">
                          <a16:creationId xmlns:a16="http://schemas.microsoft.com/office/drawing/2014/main" id="{884BFD2F-D9A3-0891-3EC6-1368A29CB237}"/>
                        </a:ext>
                      </a:extLst>
                    </pic:cNvPr>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99260" cy="913765"/>
                    </a:xfrm>
                    <a:prstGeom prst="rect">
                      <a:avLst/>
                    </a:prstGeom>
                    <a:noFill/>
                    <a:ln>
                      <a:noFill/>
                    </a:ln>
                  </pic:spPr>
                </pic:pic>
              </a:graphicData>
            </a:graphic>
          </wp:anchor>
        </w:drawing>
      </w:r>
      <w:r w:rsidR="00822E50">
        <w:rPr>
          <w:noProof/>
        </w:rPr>
        <w:drawing>
          <wp:anchor distT="0" distB="0" distL="114300" distR="114300" simplePos="0" relativeHeight="251660288" behindDoc="0" locked="0" layoutInCell="1" allowOverlap="1" wp14:anchorId="28E075BA" wp14:editId="173589FB">
            <wp:simplePos x="0" y="0"/>
            <wp:positionH relativeFrom="column">
              <wp:posOffset>4428490</wp:posOffset>
            </wp:positionH>
            <wp:positionV relativeFrom="paragraph">
              <wp:posOffset>64135</wp:posOffset>
            </wp:positionV>
            <wp:extent cx="1519555" cy="838835"/>
            <wp:effectExtent l="0" t="0" r="4445" b="0"/>
            <wp:wrapNone/>
            <wp:docPr id="1019227877" name="Picture 2">
              <a:extLst xmlns:a="http://schemas.openxmlformats.org/drawingml/2006/main">
                <a:ext uri="{FF2B5EF4-FFF2-40B4-BE49-F238E27FC236}">
                  <a16:creationId xmlns:a16="http://schemas.microsoft.com/office/drawing/2014/main" id="{013E2220-D271-E349-79C4-76FF96BC8F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013E2220-D271-E349-79C4-76FF96BC8F0B}"/>
                        </a:ext>
                      </a:extLst>
                    </pic:cNvP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9555" cy="838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E50">
        <w:rPr>
          <w:noProof/>
        </w:rPr>
        <w:drawing>
          <wp:anchor distT="0" distB="0" distL="114300" distR="114300" simplePos="0" relativeHeight="251658240" behindDoc="0" locked="0" layoutInCell="1" allowOverlap="1" wp14:anchorId="1AE21063" wp14:editId="22BF71D7">
            <wp:simplePos x="0" y="0"/>
            <wp:positionH relativeFrom="column">
              <wp:posOffset>1979295</wp:posOffset>
            </wp:positionH>
            <wp:positionV relativeFrom="paragraph">
              <wp:posOffset>168910</wp:posOffset>
            </wp:positionV>
            <wp:extent cx="1906257" cy="781050"/>
            <wp:effectExtent l="0" t="0" r="0" b="0"/>
            <wp:wrapNone/>
            <wp:docPr id="6" name="Picture 5" descr="Logo, company name&#10;&#10;Description automatically generated">
              <a:extLst xmlns:a="http://schemas.openxmlformats.org/drawingml/2006/main">
                <a:ext uri="{FF2B5EF4-FFF2-40B4-BE49-F238E27FC236}">
                  <a16:creationId xmlns:a16="http://schemas.microsoft.com/office/drawing/2014/main" id="{10012F6E-A603-83B6-5789-3C5CAF904F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Logo, company name&#10;&#10;Description automatically generated">
                      <a:extLst>
                        <a:ext uri="{FF2B5EF4-FFF2-40B4-BE49-F238E27FC236}">
                          <a16:creationId xmlns:a16="http://schemas.microsoft.com/office/drawing/2014/main" id="{10012F6E-A603-83B6-5789-3C5CAF904F7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6257" cy="781050"/>
                    </a:xfrm>
                    <a:prstGeom prst="rect">
                      <a:avLst/>
                    </a:prstGeom>
                  </pic:spPr>
                </pic:pic>
              </a:graphicData>
            </a:graphic>
            <wp14:sizeRelH relativeFrom="margin">
              <wp14:pctWidth>0</wp14:pctWidth>
            </wp14:sizeRelH>
            <wp14:sizeRelV relativeFrom="margin">
              <wp14:pctHeight>0</wp14:pctHeight>
            </wp14:sizeRelV>
          </wp:anchor>
        </w:drawing>
      </w:r>
      <w:r w:rsidR="00000000">
        <w:br w:type="page"/>
      </w:r>
    </w:p>
    <w:p w14:paraId="45AA0B00" w14:textId="77777777" w:rsidR="00BC28CE" w:rsidRDefault="00000000">
      <w:pPr>
        <w:pStyle w:val="Heading1"/>
      </w:pPr>
      <w:bookmarkStart w:id="0" w:name="acknowledgements"/>
      <w:bookmarkStart w:id="1" w:name="_Toc161945668"/>
      <w:r>
        <w:lastRenderedPageBreak/>
        <w:t>Acknowledgements</w:t>
      </w:r>
      <w:bookmarkEnd w:id="1"/>
    </w:p>
    <w:p w14:paraId="03F567E8" w14:textId="548CF122" w:rsidR="00776ED7" w:rsidRPr="00B96C7D" w:rsidRDefault="00776ED7" w:rsidP="00776ED7">
      <w:pPr>
        <w:jc w:val="both"/>
      </w:pPr>
      <w:r w:rsidRPr="00776ED7">
        <w:rPr>
          <w:i/>
          <w:iCs/>
        </w:rPr>
        <w:t xml:space="preserve">The successful completion of the Isiolo County 2024 SMART survey was made possible through </w:t>
      </w:r>
      <w:r w:rsidRPr="00B96C7D">
        <w:t>the collaborative efforts of various partners, under the leadership of the County Department of Health (CDH). This survey has provided invaluable insights into the health, nutrition, and food security status of the population in the County, serving as a cornerstone for informing and evaluating programming in nutrition-specific and sensitive sectors.</w:t>
      </w:r>
    </w:p>
    <w:p w14:paraId="2607DDF7" w14:textId="77777777" w:rsidR="00776ED7" w:rsidRPr="00B96C7D" w:rsidRDefault="00776ED7" w:rsidP="00776ED7">
      <w:pPr>
        <w:jc w:val="both"/>
      </w:pPr>
      <w:r w:rsidRPr="00B96C7D">
        <w:t>We extend our sincere appreciation to the local authorities, community leaders, and stakeholders whose support and cooperation were integral to facilitating the survey process and ensuring its accuracy and relevance. The dedication and commitment of the survey team, who worked tirelessly to collect and analyze the data, are also deserving of recognition.</w:t>
      </w:r>
    </w:p>
    <w:p w14:paraId="5C1535B6" w14:textId="77777777" w:rsidR="00FF0B4E" w:rsidRPr="00B96C7D" w:rsidRDefault="00776ED7" w:rsidP="00776ED7">
      <w:pPr>
        <w:jc w:val="both"/>
      </w:pPr>
      <w:r w:rsidRPr="00B96C7D">
        <w:t xml:space="preserve">Furthermore, we express our profound gratitude to the following organizations for their unwavering commitment and substantial support: </w:t>
      </w:r>
    </w:p>
    <w:p w14:paraId="6D9F233E" w14:textId="48AA61D4" w:rsidR="00FF0B4E" w:rsidRPr="00B96C7D" w:rsidRDefault="00776ED7" w:rsidP="00FF0B4E">
      <w:pPr>
        <w:pStyle w:val="ListParagraph"/>
        <w:numPr>
          <w:ilvl w:val="0"/>
          <w:numId w:val="36"/>
        </w:numPr>
        <w:jc w:val="both"/>
      </w:pPr>
      <w:r w:rsidRPr="00B96C7D">
        <w:t>UNICEF</w:t>
      </w:r>
    </w:p>
    <w:p w14:paraId="6A04B0F9" w14:textId="52FA728B" w:rsidR="00FF0B4E" w:rsidRPr="00B96C7D" w:rsidRDefault="00776ED7" w:rsidP="00FF0B4E">
      <w:pPr>
        <w:pStyle w:val="ListParagraph"/>
        <w:numPr>
          <w:ilvl w:val="0"/>
          <w:numId w:val="36"/>
        </w:numPr>
        <w:jc w:val="both"/>
      </w:pPr>
      <w:r w:rsidRPr="00B96C7D">
        <w:t>USAID Nawiri</w:t>
      </w:r>
    </w:p>
    <w:p w14:paraId="3FD8F2A5" w14:textId="14D1608F" w:rsidR="00FF0B4E" w:rsidRPr="00B96C7D" w:rsidRDefault="00776ED7" w:rsidP="00FF0B4E">
      <w:pPr>
        <w:pStyle w:val="ListParagraph"/>
        <w:numPr>
          <w:ilvl w:val="0"/>
          <w:numId w:val="36"/>
        </w:numPr>
        <w:jc w:val="both"/>
      </w:pPr>
      <w:r w:rsidRPr="00B96C7D">
        <w:t>WFP</w:t>
      </w:r>
    </w:p>
    <w:p w14:paraId="77AF07C7" w14:textId="0565CC37" w:rsidR="00FF0B4E" w:rsidRPr="00B96C7D" w:rsidRDefault="00776ED7" w:rsidP="00FF0B4E">
      <w:pPr>
        <w:pStyle w:val="ListParagraph"/>
        <w:numPr>
          <w:ilvl w:val="0"/>
          <w:numId w:val="36"/>
        </w:numPr>
        <w:jc w:val="both"/>
      </w:pPr>
      <w:r w:rsidRPr="00B96C7D">
        <w:t>Action Against Hunger</w:t>
      </w:r>
    </w:p>
    <w:p w14:paraId="631C706D" w14:textId="616A99BB" w:rsidR="00FF0B4E" w:rsidRPr="00B96C7D" w:rsidRDefault="00776ED7" w:rsidP="00FF0B4E">
      <w:pPr>
        <w:pStyle w:val="ListParagraph"/>
        <w:numPr>
          <w:ilvl w:val="0"/>
          <w:numId w:val="36"/>
        </w:numPr>
        <w:jc w:val="both"/>
      </w:pPr>
      <w:r w:rsidRPr="00B96C7D">
        <w:t>Kenya Red Cross Society</w:t>
      </w:r>
    </w:p>
    <w:p w14:paraId="2A9E7E59" w14:textId="6598A9FD" w:rsidR="00FF0B4E" w:rsidRPr="00B96C7D" w:rsidRDefault="00776ED7" w:rsidP="00FF0B4E">
      <w:pPr>
        <w:pStyle w:val="ListParagraph"/>
        <w:numPr>
          <w:ilvl w:val="0"/>
          <w:numId w:val="36"/>
        </w:numPr>
        <w:jc w:val="both"/>
      </w:pPr>
      <w:r w:rsidRPr="00B96C7D">
        <w:t>We World, Feed the Future</w:t>
      </w:r>
    </w:p>
    <w:p w14:paraId="4FB7A012" w14:textId="1AC2EAA9" w:rsidR="00FF0B4E" w:rsidRPr="00B96C7D" w:rsidRDefault="00776ED7" w:rsidP="00FF0B4E">
      <w:pPr>
        <w:pStyle w:val="ListParagraph"/>
        <w:numPr>
          <w:ilvl w:val="0"/>
          <w:numId w:val="36"/>
        </w:numPr>
        <w:jc w:val="both"/>
      </w:pPr>
      <w:r w:rsidRPr="00B96C7D">
        <w:t>ACDI/VOCA</w:t>
      </w:r>
    </w:p>
    <w:p w14:paraId="6D052782" w14:textId="0BFBA362" w:rsidR="00776ED7" w:rsidRPr="00B96C7D" w:rsidRDefault="00776ED7" w:rsidP="00776ED7">
      <w:pPr>
        <w:jc w:val="both"/>
      </w:pPr>
      <w:r w:rsidRPr="00B96C7D">
        <w:t>Their contributions, both logistical and financial, played a crucial role in facilitating the smooth execution of the survey.</w:t>
      </w:r>
    </w:p>
    <w:p w14:paraId="2774D6F8" w14:textId="6B080372" w:rsidR="00BC28CE" w:rsidRPr="00B96C7D" w:rsidRDefault="00776ED7" w:rsidP="00776ED7">
      <w:pPr>
        <w:jc w:val="both"/>
      </w:pPr>
      <w:r w:rsidRPr="00B96C7D">
        <w:t>Lastly, we would like to extend our gratitude to all individuals involved in the preparation and review of this report. Their expertise and efforts have greatly contributed to the quality and clarity of the findings presented herein.</w:t>
      </w:r>
    </w:p>
    <w:p w14:paraId="4867A503" w14:textId="77777777" w:rsidR="00BC28CE" w:rsidRDefault="00000000">
      <w:r>
        <w:br w:type="page"/>
      </w:r>
    </w:p>
    <w:p w14:paraId="4B32316A" w14:textId="77777777" w:rsidR="00BC28CE" w:rsidRPr="00FF0B4E" w:rsidRDefault="00000000">
      <w:pPr>
        <w:rPr>
          <w:i/>
          <w:iCs/>
          <w:sz w:val="26"/>
          <w:szCs w:val="28"/>
        </w:rPr>
      </w:pPr>
      <w:r w:rsidRPr="00FF0B4E">
        <w:rPr>
          <w:b/>
          <w:bCs/>
          <w:i/>
          <w:iCs/>
          <w:sz w:val="26"/>
          <w:szCs w:val="28"/>
        </w:rPr>
        <w:lastRenderedPageBreak/>
        <w:t>Table of contents</w:t>
      </w:r>
    </w:p>
    <w:p w14:paraId="5F9E9ABB" w14:textId="77777777" w:rsidR="00822E50" w:rsidRPr="00FF0B4E" w:rsidRDefault="0000000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r w:rsidRPr="00FF0B4E">
        <w:rPr>
          <w:b w:val="0"/>
          <w:bCs w:val="0"/>
          <w:iCs w:val="0"/>
        </w:rPr>
        <w:fldChar w:fldCharType="begin"/>
      </w:r>
      <w:r w:rsidRPr="00FF0B4E">
        <w:rPr>
          <w:b w:val="0"/>
          <w:bCs w:val="0"/>
          <w:iCs w:val="0"/>
        </w:rPr>
        <w:instrText>TOC \o "1-2" \h \z \u</w:instrText>
      </w:r>
      <w:r w:rsidR="00822E50" w:rsidRPr="00FF0B4E">
        <w:rPr>
          <w:b w:val="0"/>
          <w:bCs w:val="0"/>
          <w:iCs w:val="0"/>
        </w:rPr>
        <w:fldChar w:fldCharType="separate"/>
      </w:r>
      <w:hyperlink w:anchor="_Toc161945668" w:history="1">
        <w:r w:rsidR="00822E50" w:rsidRPr="00FF0B4E">
          <w:rPr>
            <w:rStyle w:val="Hyperlink"/>
            <w:b w:val="0"/>
            <w:bCs w:val="0"/>
            <w:iCs w:val="0"/>
            <w:noProof/>
            <w:color w:val="auto"/>
          </w:rPr>
          <w:t>1.</w:t>
        </w:r>
        <w:r w:rsidR="00822E50" w:rsidRPr="00FF0B4E">
          <w:rPr>
            <w:rFonts w:eastAsiaTheme="minorEastAsia" w:cstheme="minorBidi"/>
            <w:b w:val="0"/>
            <w:bCs w:val="0"/>
            <w:iCs w:val="0"/>
            <w:noProof/>
            <w:kern w:val="2"/>
            <w:sz w:val="22"/>
            <w:szCs w:val="22"/>
            <w:lang w:val="en-KE" w:eastAsia="en-KE"/>
            <w14:ligatures w14:val="standardContextual"/>
          </w:rPr>
          <w:tab/>
        </w:r>
        <w:r w:rsidR="00822E50" w:rsidRPr="00FF0B4E">
          <w:rPr>
            <w:rStyle w:val="Hyperlink"/>
            <w:b w:val="0"/>
            <w:bCs w:val="0"/>
            <w:iCs w:val="0"/>
            <w:noProof/>
            <w:color w:val="auto"/>
          </w:rPr>
          <w:t>Acknowledgements</w:t>
        </w:r>
        <w:r w:rsidR="00822E50" w:rsidRPr="00FF0B4E">
          <w:rPr>
            <w:b w:val="0"/>
            <w:bCs w:val="0"/>
            <w:iCs w:val="0"/>
            <w:noProof/>
            <w:webHidden/>
          </w:rPr>
          <w:tab/>
        </w:r>
        <w:r w:rsidR="00822E50" w:rsidRPr="00FF0B4E">
          <w:rPr>
            <w:b w:val="0"/>
            <w:bCs w:val="0"/>
            <w:iCs w:val="0"/>
            <w:noProof/>
            <w:webHidden/>
          </w:rPr>
          <w:fldChar w:fldCharType="begin"/>
        </w:r>
        <w:r w:rsidR="00822E50" w:rsidRPr="00FF0B4E">
          <w:rPr>
            <w:b w:val="0"/>
            <w:bCs w:val="0"/>
            <w:iCs w:val="0"/>
            <w:noProof/>
            <w:webHidden/>
          </w:rPr>
          <w:instrText xml:space="preserve"> PAGEREF _Toc161945668 \h </w:instrText>
        </w:r>
        <w:r w:rsidR="00822E50" w:rsidRPr="00FF0B4E">
          <w:rPr>
            <w:b w:val="0"/>
            <w:bCs w:val="0"/>
            <w:iCs w:val="0"/>
            <w:noProof/>
            <w:webHidden/>
          </w:rPr>
        </w:r>
        <w:r w:rsidR="00822E50" w:rsidRPr="00FF0B4E">
          <w:rPr>
            <w:b w:val="0"/>
            <w:bCs w:val="0"/>
            <w:iCs w:val="0"/>
            <w:noProof/>
            <w:webHidden/>
          </w:rPr>
          <w:fldChar w:fldCharType="separate"/>
        </w:r>
        <w:r w:rsidR="00822E50" w:rsidRPr="00FF0B4E">
          <w:rPr>
            <w:b w:val="0"/>
            <w:bCs w:val="0"/>
            <w:iCs w:val="0"/>
            <w:noProof/>
            <w:webHidden/>
          </w:rPr>
          <w:t>2</w:t>
        </w:r>
        <w:r w:rsidR="00822E50" w:rsidRPr="00FF0B4E">
          <w:rPr>
            <w:b w:val="0"/>
            <w:bCs w:val="0"/>
            <w:iCs w:val="0"/>
            <w:noProof/>
            <w:webHidden/>
          </w:rPr>
          <w:fldChar w:fldCharType="end"/>
        </w:r>
      </w:hyperlink>
    </w:p>
    <w:p w14:paraId="62A2CF00"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69" w:history="1">
        <w:r w:rsidRPr="00FF0B4E">
          <w:rPr>
            <w:rStyle w:val="Hyperlink"/>
            <w:b w:val="0"/>
            <w:bCs w:val="0"/>
            <w:iCs w:val="0"/>
            <w:noProof/>
            <w:color w:val="auto"/>
          </w:rPr>
          <w:t>2.</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Acronyms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_Toc161945669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w:t>
        </w:r>
        <w:r w:rsidRPr="00FF0B4E">
          <w:rPr>
            <w:b w:val="0"/>
            <w:bCs w:val="0"/>
            <w:iCs w:val="0"/>
            <w:noProof/>
            <w:webHidden/>
          </w:rPr>
          <w:fldChar w:fldCharType="end"/>
        </w:r>
      </w:hyperlink>
    </w:p>
    <w:p w14:paraId="1AEC0F64"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70" w:history="1">
        <w:r w:rsidRPr="00FF0B4E">
          <w:rPr>
            <w:rStyle w:val="Hyperlink"/>
            <w:b w:val="0"/>
            <w:bCs w:val="0"/>
            <w:iCs w:val="0"/>
            <w:noProof/>
            <w:color w:val="auto"/>
          </w:rPr>
          <w:t>3.</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Executive Summary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_Toc161945670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6</w:t>
        </w:r>
        <w:r w:rsidRPr="00FF0B4E">
          <w:rPr>
            <w:b w:val="0"/>
            <w:bCs w:val="0"/>
            <w:iCs w:val="0"/>
            <w:noProof/>
            <w:webHidden/>
          </w:rPr>
          <w:fldChar w:fldCharType="end"/>
        </w:r>
      </w:hyperlink>
    </w:p>
    <w:p w14:paraId="6D172161"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71" w:history="1">
        <w:r w:rsidRPr="00FF0B4E">
          <w:rPr>
            <w:rStyle w:val="Hyperlink"/>
            <w:b w:val="0"/>
            <w:bCs w:val="0"/>
            <w:iCs w:val="0"/>
            <w:noProof/>
            <w:color w:val="auto"/>
          </w:rPr>
          <w:t>4.</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Introduction</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_Toc161945671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7</w:t>
        </w:r>
        <w:r w:rsidRPr="00FF0B4E">
          <w:rPr>
            <w:b w:val="0"/>
            <w:bCs w:val="0"/>
            <w:iCs w:val="0"/>
            <w:noProof/>
            <w:webHidden/>
          </w:rPr>
          <w:fldChar w:fldCharType="end"/>
        </w:r>
      </w:hyperlink>
    </w:p>
    <w:p w14:paraId="2B686CF7"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2" w:history="1">
        <w:r w:rsidRPr="00FF0B4E">
          <w:rPr>
            <w:rStyle w:val="Hyperlink"/>
            <w:b w:val="0"/>
            <w:bCs w:val="0"/>
            <w:i w:val="0"/>
            <w:noProof/>
            <w:color w:val="auto"/>
          </w:rPr>
          <w:t>4.1.</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Organization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_Toc161945672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7</w:t>
        </w:r>
        <w:r w:rsidRPr="00FF0B4E">
          <w:rPr>
            <w:b w:val="0"/>
            <w:bCs w:val="0"/>
            <w:i w:val="0"/>
            <w:noProof/>
            <w:webHidden/>
          </w:rPr>
          <w:fldChar w:fldCharType="end"/>
        </w:r>
      </w:hyperlink>
    </w:p>
    <w:p w14:paraId="60291AC4"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3" w:history="1">
        <w:r w:rsidRPr="00FF0B4E">
          <w:rPr>
            <w:rStyle w:val="Hyperlink"/>
            <w:b w:val="0"/>
            <w:bCs w:val="0"/>
            <w:i w:val="0"/>
            <w:noProof/>
            <w:color w:val="auto"/>
          </w:rPr>
          <w:t>4.2.</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Background Information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_Toc161945673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7</w:t>
        </w:r>
        <w:r w:rsidRPr="00FF0B4E">
          <w:rPr>
            <w:b w:val="0"/>
            <w:bCs w:val="0"/>
            <w:i w:val="0"/>
            <w:noProof/>
            <w:webHidden/>
          </w:rPr>
          <w:fldChar w:fldCharType="end"/>
        </w:r>
      </w:hyperlink>
    </w:p>
    <w:p w14:paraId="23F4C5A5"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4" w:history="1">
        <w:r w:rsidRPr="00FF0B4E">
          <w:rPr>
            <w:rStyle w:val="Hyperlink"/>
            <w:b w:val="0"/>
            <w:bCs w:val="0"/>
            <w:i w:val="0"/>
            <w:noProof/>
            <w:color w:val="auto"/>
          </w:rPr>
          <w:t>4.3.</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Type</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_Toc161945674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8</w:t>
        </w:r>
        <w:r w:rsidRPr="00FF0B4E">
          <w:rPr>
            <w:b w:val="0"/>
            <w:bCs w:val="0"/>
            <w:i w:val="0"/>
            <w:noProof/>
            <w:webHidden/>
          </w:rPr>
          <w:fldChar w:fldCharType="end"/>
        </w:r>
      </w:hyperlink>
    </w:p>
    <w:p w14:paraId="004F08C3"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5" w:history="1">
        <w:r w:rsidRPr="00FF0B4E">
          <w:rPr>
            <w:rStyle w:val="Hyperlink"/>
            <w:b w:val="0"/>
            <w:bCs w:val="0"/>
            <w:i w:val="0"/>
            <w:noProof/>
            <w:color w:val="auto"/>
          </w:rPr>
          <w:t>4.4.</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Timing</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_Toc161945675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8</w:t>
        </w:r>
        <w:r w:rsidRPr="00FF0B4E">
          <w:rPr>
            <w:b w:val="0"/>
            <w:bCs w:val="0"/>
            <w:i w:val="0"/>
            <w:noProof/>
            <w:webHidden/>
          </w:rPr>
          <w:fldChar w:fldCharType="end"/>
        </w:r>
      </w:hyperlink>
    </w:p>
    <w:p w14:paraId="730FCEB1"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6" w:history="1">
        <w:r w:rsidRPr="00FF0B4E">
          <w:rPr>
            <w:rStyle w:val="Hyperlink"/>
            <w:b w:val="0"/>
            <w:bCs w:val="0"/>
            <w:i w:val="0"/>
            <w:noProof/>
            <w:color w:val="auto"/>
          </w:rPr>
          <w:t>4.5.</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Type of Setting</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_Toc161945676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9</w:t>
        </w:r>
        <w:r w:rsidRPr="00FF0B4E">
          <w:rPr>
            <w:b w:val="0"/>
            <w:bCs w:val="0"/>
            <w:i w:val="0"/>
            <w:noProof/>
            <w:webHidden/>
          </w:rPr>
          <w:fldChar w:fldCharType="end"/>
        </w:r>
      </w:hyperlink>
    </w:p>
    <w:p w14:paraId="407962CD"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7" w:history="1">
        <w:r w:rsidRPr="00FF0B4E">
          <w:rPr>
            <w:rStyle w:val="Hyperlink"/>
            <w:b w:val="0"/>
            <w:bCs w:val="0"/>
            <w:i w:val="0"/>
            <w:noProof/>
            <w:color w:val="auto"/>
          </w:rPr>
          <w:t>4.6.</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Location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_Toc161945677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9</w:t>
        </w:r>
        <w:r w:rsidRPr="00FF0B4E">
          <w:rPr>
            <w:b w:val="0"/>
            <w:bCs w:val="0"/>
            <w:i w:val="0"/>
            <w:noProof/>
            <w:webHidden/>
          </w:rPr>
          <w:fldChar w:fldCharType="end"/>
        </w:r>
      </w:hyperlink>
    </w:p>
    <w:p w14:paraId="0BD01623"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78" w:history="1">
        <w:r w:rsidRPr="00FF0B4E">
          <w:rPr>
            <w:rStyle w:val="Hyperlink"/>
            <w:b w:val="0"/>
            <w:bCs w:val="0"/>
            <w:i w:val="0"/>
            <w:noProof/>
            <w:color w:val="auto"/>
          </w:rPr>
          <w:t>4.7.</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Excluded Areas (if applicable)</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_Toc161945678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9</w:t>
        </w:r>
        <w:r w:rsidRPr="00FF0B4E">
          <w:rPr>
            <w:b w:val="0"/>
            <w:bCs w:val="0"/>
            <w:i w:val="0"/>
            <w:noProof/>
            <w:webHidden/>
          </w:rPr>
          <w:fldChar w:fldCharType="end"/>
        </w:r>
      </w:hyperlink>
    </w:p>
    <w:p w14:paraId="48EDF104"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79" w:history="1">
        <w:r w:rsidRPr="00FF0B4E">
          <w:rPr>
            <w:rStyle w:val="Hyperlink"/>
            <w:b w:val="0"/>
            <w:bCs w:val="0"/>
            <w:iCs w:val="0"/>
            <w:noProof/>
            <w:color w:val="auto"/>
          </w:rPr>
          <w:t>5.</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Survey Goal and Objectives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_Toc161945679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9</w:t>
        </w:r>
        <w:r w:rsidRPr="00FF0B4E">
          <w:rPr>
            <w:b w:val="0"/>
            <w:bCs w:val="0"/>
            <w:iCs w:val="0"/>
            <w:noProof/>
            <w:webHidden/>
          </w:rPr>
          <w:fldChar w:fldCharType="end"/>
        </w:r>
      </w:hyperlink>
    </w:p>
    <w:p w14:paraId="6B43F80C"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0" w:history="1">
        <w:r w:rsidRPr="00FF0B4E">
          <w:rPr>
            <w:rStyle w:val="Hyperlink"/>
            <w:b w:val="0"/>
            <w:bCs w:val="0"/>
            <w:i w:val="0"/>
            <w:noProof/>
            <w:color w:val="auto"/>
          </w:rPr>
          <w:t>5.1.</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Goal and Primary Objective</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_Toc161945680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9</w:t>
        </w:r>
        <w:r w:rsidRPr="00FF0B4E">
          <w:rPr>
            <w:b w:val="0"/>
            <w:bCs w:val="0"/>
            <w:i w:val="0"/>
            <w:noProof/>
            <w:webHidden/>
          </w:rPr>
          <w:fldChar w:fldCharType="end"/>
        </w:r>
      </w:hyperlink>
    </w:p>
    <w:p w14:paraId="298FDD25"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1" w:history="1">
        <w:r w:rsidRPr="00FF0B4E">
          <w:rPr>
            <w:rStyle w:val="Hyperlink"/>
            <w:b w:val="0"/>
            <w:bCs w:val="0"/>
            <w:i w:val="0"/>
            <w:noProof/>
            <w:color w:val="auto"/>
          </w:rPr>
          <w:t>5.2.</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Specific Survey Objectives</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_Toc161945681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9</w:t>
        </w:r>
        <w:r w:rsidRPr="00FF0B4E">
          <w:rPr>
            <w:b w:val="0"/>
            <w:bCs w:val="0"/>
            <w:i w:val="0"/>
            <w:noProof/>
            <w:webHidden/>
          </w:rPr>
          <w:fldChar w:fldCharType="end"/>
        </w:r>
      </w:hyperlink>
    </w:p>
    <w:p w14:paraId="0F23A6CA"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2" w:history="1">
        <w:r w:rsidRPr="00FF0B4E">
          <w:rPr>
            <w:rStyle w:val="Hyperlink"/>
            <w:b w:val="0"/>
            <w:bCs w:val="0"/>
            <w:i w:val="0"/>
            <w:noProof/>
            <w:color w:val="auto"/>
          </w:rPr>
          <w:t>5.3.</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Justification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_Toc161945682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10</w:t>
        </w:r>
        <w:r w:rsidRPr="00FF0B4E">
          <w:rPr>
            <w:b w:val="0"/>
            <w:bCs w:val="0"/>
            <w:i w:val="0"/>
            <w:noProof/>
            <w:webHidden/>
          </w:rPr>
          <w:fldChar w:fldCharType="end"/>
        </w:r>
      </w:hyperlink>
    </w:p>
    <w:p w14:paraId="65C25EC2"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83" w:history="1">
        <w:r w:rsidRPr="00FF0B4E">
          <w:rPr>
            <w:rStyle w:val="Hyperlink"/>
            <w:b w:val="0"/>
            <w:bCs w:val="0"/>
            <w:iCs w:val="0"/>
            <w:noProof/>
            <w:color w:val="auto"/>
          </w:rPr>
          <w:t>6.</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Methodology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_Toc161945683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10</w:t>
        </w:r>
        <w:r w:rsidRPr="00FF0B4E">
          <w:rPr>
            <w:b w:val="0"/>
            <w:bCs w:val="0"/>
            <w:iCs w:val="0"/>
            <w:noProof/>
            <w:webHidden/>
          </w:rPr>
          <w:fldChar w:fldCharType="end"/>
        </w:r>
      </w:hyperlink>
    </w:p>
    <w:p w14:paraId="6CBA2E56"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4" w:history="1">
        <w:r w:rsidRPr="00FF0B4E">
          <w:rPr>
            <w:rStyle w:val="Hyperlink"/>
            <w:b w:val="0"/>
            <w:bCs w:val="0"/>
            <w:i w:val="0"/>
            <w:noProof/>
            <w:color w:val="auto"/>
          </w:rPr>
          <w:t>6.1.</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Design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_Toc161945684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10</w:t>
        </w:r>
        <w:r w:rsidRPr="00FF0B4E">
          <w:rPr>
            <w:b w:val="0"/>
            <w:bCs w:val="0"/>
            <w:i w:val="0"/>
            <w:noProof/>
            <w:webHidden/>
          </w:rPr>
          <w:fldChar w:fldCharType="end"/>
        </w:r>
      </w:hyperlink>
    </w:p>
    <w:p w14:paraId="3D908EBB"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85" w:history="1">
        <w:r w:rsidRPr="00FF0B4E">
          <w:rPr>
            <w:rStyle w:val="Hyperlink"/>
            <w:b w:val="0"/>
            <w:bCs w:val="0"/>
            <w:iCs w:val="0"/>
            <w:noProof/>
            <w:color w:val="auto"/>
          </w:rPr>
          <w:t>7.</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Indicators: Definition, Calculations, and Interpretation</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_Toc161945685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13</w:t>
        </w:r>
        <w:r w:rsidRPr="00FF0B4E">
          <w:rPr>
            <w:b w:val="0"/>
            <w:bCs w:val="0"/>
            <w:iCs w:val="0"/>
            <w:noProof/>
            <w:webHidden/>
          </w:rPr>
          <w:fldChar w:fldCharType="end"/>
        </w:r>
      </w:hyperlink>
    </w:p>
    <w:p w14:paraId="6DC06E94"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6" w:history="1">
        <w:r w:rsidRPr="00FF0B4E">
          <w:rPr>
            <w:rStyle w:val="Hyperlink"/>
            <w:b w:val="0"/>
            <w:bCs w:val="0"/>
            <w:i w:val="0"/>
            <w:noProof/>
            <w:color w:val="auto"/>
          </w:rPr>
          <w:t>7.1.</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Overview of Indicators</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_Toc161945686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13</w:t>
        </w:r>
        <w:r w:rsidRPr="00FF0B4E">
          <w:rPr>
            <w:b w:val="0"/>
            <w:bCs w:val="0"/>
            <w:i w:val="0"/>
            <w:noProof/>
            <w:webHidden/>
          </w:rPr>
          <w:fldChar w:fldCharType="end"/>
        </w:r>
      </w:hyperlink>
    </w:p>
    <w:p w14:paraId="0A5F0B05"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7" w:history="1">
        <w:r w:rsidRPr="00FF0B4E">
          <w:rPr>
            <w:rStyle w:val="Hyperlink"/>
            <w:b w:val="0"/>
            <w:bCs w:val="0"/>
            <w:i w:val="0"/>
            <w:noProof/>
            <w:color w:val="auto"/>
          </w:rPr>
          <w:t>7.2.</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Anthropometric Indicators</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_Toc161945687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14</w:t>
        </w:r>
        <w:r w:rsidRPr="00FF0B4E">
          <w:rPr>
            <w:b w:val="0"/>
            <w:bCs w:val="0"/>
            <w:i w:val="0"/>
            <w:noProof/>
            <w:webHidden/>
          </w:rPr>
          <w:fldChar w:fldCharType="end"/>
        </w:r>
      </w:hyperlink>
    </w:p>
    <w:p w14:paraId="7B367DFA"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88" w:history="1">
        <w:r w:rsidRPr="00FF0B4E">
          <w:rPr>
            <w:rStyle w:val="Hyperlink"/>
            <w:b w:val="0"/>
            <w:bCs w:val="0"/>
            <w:i w:val="0"/>
            <w:noProof/>
            <w:color w:val="auto"/>
          </w:rPr>
          <w:t>7.3.</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Other Indicators as Applicable (Immunization, Infant and Young Child Feeding, etc.)</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_Toc161945688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16</w:t>
        </w:r>
        <w:r w:rsidRPr="00FF0B4E">
          <w:rPr>
            <w:b w:val="0"/>
            <w:bCs w:val="0"/>
            <w:i w:val="0"/>
            <w:noProof/>
            <w:webHidden/>
          </w:rPr>
          <w:fldChar w:fldCharType="end"/>
        </w:r>
      </w:hyperlink>
    </w:p>
    <w:p w14:paraId="748BE4BD"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89" w:history="1">
        <w:r w:rsidRPr="00FF0B4E">
          <w:rPr>
            <w:rStyle w:val="Hyperlink"/>
            <w:b w:val="0"/>
            <w:bCs w:val="0"/>
            <w:iCs w:val="0"/>
            <w:noProof/>
            <w:color w:val="auto"/>
          </w:rPr>
          <w:t>8.</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Questionnaire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_Toc161945689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16</w:t>
        </w:r>
        <w:r w:rsidRPr="00FF0B4E">
          <w:rPr>
            <w:b w:val="0"/>
            <w:bCs w:val="0"/>
            <w:iCs w:val="0"/>
            <w:noProof/>
            <w:webHidden/>
          </w:rPr>
          <w:fldChar w:fldCharType="end"/>
        </w:r>
      </w:hyperlink>
    </w:p>
    <w:p w14:paraId="35D32FDB" w14:textId="77777777" w:rsidR="00822E50" w:rsidRPr="00FF0B4E" w:rsidRDefault="00822E50">
      <w:pPr>
        <w:pStyle w:val="TOC1"/>
        <w:tabs>
          <w:tab w:val="left" w:pos="48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90" w:history="1">
        <w:r w:rsidRPr="00FF0B4E">
          <w:rPr>
            <w:rStyle w:val="Hyperlink"/>
            <w:b w:val="0"/>
            <w:bCs w:val="0"/>
            <w:iCs w:val="0"/>
            <w:noProof/>
            <w:color w:val="auto"/>
          </w:rPr>
          <w:t>9.</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Limitations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_Toc161945690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16</w:t>
        </w:r>
        <w:r w:rsidRPr="00FF0B4E">
          <w:rPr>
            <w:b w:val="0"/>
            <w:bCs w:val="0"/>
            <w:iCs w:val="0"/>
            <w:noProof/>
            <w:webHidden/>
          </w:rPr>
          <w:fldChar w:fldCharType="end"/>
        </w:r>
      </w:hyperlink>
    </w:p>
    <w:p w14:paraId="01DFAE84" w14:textId="77777777" w:rsidR="00822E50" w:rsidRPr="00FF0B4E" w:rsidRDefault="00822E50">
      <w:pPr>
        <w:pStyle w:val="TOC1"/>
        <w:tabs>
          <w:tab w:val="left" w:pos="72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91" w:history="1">
        <w:r w:rsidRPr="00FF0B4E">
          <w:rPr>
            <w:rStyle w:val="Hyperlink"/>
            <w:b w:val="0"/>
            <w:bCs w:val="0"/>
            <w:iCs w:val="0"/>
            <w:noProof/>
            <w:color w:val="auto"/>
          </w:rPr>
          <w:t>10.</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Survey Findings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_Toc161945691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16</w:t>
        </w:r>
        <w:r w:rsidRPr="00FF0B4E">
          <w:rPr>
            <w:b w:val="0"/>
            <w:bCs w:val="0"/>
            <w:iCs w:val="0"/>
            <w:noProof/>
            <w:webHidden/>
          </w:rPr>
          <w:fldChar w:fldCharType="end"/>
        </w:r>
      </w:hyperlink>
    </w:p>
    <w:p w14:paraId="7D36BC24"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2" w:history="1">
        <w:r w:rsidRPr="00FF0B4E">
          <w:rPr>
            <w:rStyle w:val="Hyperlink"/>
            <w:b w:val="0"/>
            <w:bCs w:val="0"/>
            <w:i w:val="0"/>
            <w:noProof/>
            <w:color w:val="auto"/>
          </w:rPr>
          <w:t>10.1.</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Survey Sample</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_Toc161945692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16</w:t>
        </w:r>
        <w:r w:rsidRPr="00FF0B4E">
          <w:rPr>
            <w:b w:val="0"/>
            <w:bCs w:val="0"/>
            <w:i w:val="0"/>
            <w:noProof/>
            <w:webHidden/>
          </w:rPr>
          <w:fldChar w:fldCharType="end"/>
        </w:r>
      </w:hyperlink>
    </w:p>
    <w:p w14:paraId="37DCA824"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3" w:history="1">
        <w:r w:rsidRPr="00FF0B4E">
          <w:rPr>
            <w:rStyle w:val="Hyperlink"/>
            <w:b w:val="0"/>
            <w:bCs w:val="0"/>
            <w:i w:val="0"/>
            <w:noProof/>
            <w:color w:val="auto"/>
          </w:rPr>
          <w:t>10.2.</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Data Quality</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_Toc161945693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17</w:t>
        </w:r>
        <w:r w:rsidRPr="00FF0B4E">
          <w:rPr>
            <w:b w:val="0"/>
            <w:bCs w:val="0"/>
            <w:i w:val="0"/>
            <w:noProof/>
            <w:webHidden/>
          </w:rPr>
          <w:fldChar w:fldCharType="end"/>
        </w:r>
      </w:hyperlink>
    </w:p>
    <w:p w14:paraId="272B4F9C"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4" w:history="1">
        <w:r w:rsidRPr="00FF0B4E">
          <w:rPr>
            <w:rStyle w:val="Hyperlink"/>
            <w:b w:val="0"/>
            <w:bCs w:val="0"/>
            <w:i w:val="0"/>
            <w:noProof/>
            <w:color w:val="auto"/>
          </w:rPr>
          <w:t>10.3.</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Prevalence of Acute Malnutrition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_Toc161945694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18</w:t>
        </w:r>
        <w:r w:rsidRPr="00FF0B4E">
          <w:rPr>
            <w:b w:val="0"/>
            <w:bCs w:val="0"/>
            <w:i w:val="0"/>
            <w:noProof/>
            <w:webHidden/>
          </w:rPr>
          <w:fldChar w:fldCharType="end"/>
        </w:r>
      </w:hyperlink>
    </w:p>
    <w:p w14:paraId="4399E80B"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5" w:history="1">
        <w:r w:rsidRPr="00FF0B4E">
          <w:rPr>
            <w:rStyle w:val="Hyperlink"/>
            <w:b w:val="0"/>
            <w:bCs w:val="0"/>
            <w:i w:val="0"/>
            <w:noProof/>
            <w:color w:val="auto"/>
          </w:rPr>
          <w:t>10.4.</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Prevalence of Chronic Malnutrition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_Toc161945695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22</w:t>
        </w:r>
        <w:r w:rsidRPr="00FF0B4E">
          <w:rPr>
            <w:b w:val="0"/>
            <w:bCs w:val="0"/>
            <w:i w:val="0"/>
            <w:noProof/>
            <w:webHidden/>
          </w:rPr>
          <w:fldChar w:fldCharType="end"/>
        </w:r>
      </w:hyperlink>
    </w:p>
    <w:p w14:paraId="0267B5B5"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6" w:history="1">
        <w:r w:rsidRPr="00FF0B4E">
          <w:rPr>
            <w:rStyle w:val="Hyperlink"/>
            <w:b w:val="0"/>
            <w:bCs w:val="0"/>
            <w:i w:val="0"/>
            <w:noProof/>
            <w:color w:val="auto"/>
          </w:rPr>
          <w:t>10.5.</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Prevalence of Underweight</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_Toc161945696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24</w:t>
        </w:r>
        <w:r w:rsidRPr="00FF0B4E">
          <w:rPr>
            <w:b w:val="0"/>
            <w:bCs w:val="0"/>
            <w:i w:val="0"/>
            <w:noProof/>
            <w:webHidden/>
          </w:rPr>
          <w:fldChar w:fldCharType="end"/>
        </w:r>
      </w:hyperlink>
    </w:p>
    <w:p w14:paraId="5FB28DB6"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7" w:history="1">
        <w:r w:rsidRPr="00FF0B4E">
          <w:rPr>
            <w:rStyle w:val="Hyperlink"/>
            <w:b w:val="0"/>
            <w:bCs w:val="0"/>
            <w:i w:val="0"/>
            <w:noProof/>
            <w:color w:val="auto"/>
          </w:rPr>
          <w:t>10.6.</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Prevalence of Overweight</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_Toc161945697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26</w:t>
        </w:r>
        <w:r w:rsidRPr="00FF0B4E">
          <w:rPr>
            <w:b w:val="0"/>
            <w:bCs w:val="0"/>
            <w:i w:val="0"/>
            <w:noProof/>
            <w:webHidden/>
          </w:rPr>
          <w:fldChar w:fldCharType="end"/>
        </w:r>
      </w:hyperlink>
    </w:p>
    <w:p w14:paraId="5FF3585C"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698" w:history="1">
        <w:r w:rsidRPr="00FF0B4E">
          <w:rPr>
            <w:rStyle w:val="Hyperlink"/>
            <w:b w:val="0"/>
            <w:bCs w:val="0"/>
            <w:i w:val="0"/>
            <w:noProof/>
            <w:color w:val="auto"/>
          </w:rPr>
          <w:t>10.7.</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Other Indicator Results</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_Toc161945698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27</w:t>
        </w:r>
        <w:r w:rsidRPr="00FF0B4E">
          <w:rPr>
            <w:b w:val="0"/>
            <w:bCs w:val="0"/>
            <w:i w:val="0"/>
            <w:noProof/>
            <w:webHidden/>
          </w:rPr>
          <w:fldChar w:fldCharType="end"/>
        </w:r>
      </w:hyperlink>
    </w:p>
    <w:p w14:paraId="159198B7" w14:textId="77777777" w:rsidR="00822E50" w:rsidRPr="00FF0B4E" w:rsidRDefault="00822E50">
      <w:pPr>
        <w:pStyle w:val="TOC1"/>
        <w:tabs>
          <w:tab w:val="left" w:pos="72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699" w:history="1">
        <w:r w:rsidRPr="00FF0B4E">
          <w:rPr>
            <w:rStyle w:val="Hyperlink"/>
            <w:b w:val="0"/>
            <w:bCs w:val="0"/>
            <w:iCs w:val="0"/>
            <w:noProof/>
            <w:color w:val="auto"/>
          </w:rPr>
          <w:t>11.</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Discussion</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_Toc161945699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38</w:t>
        </w:r>
        <w:r w:rsidRPr="00FF0B4E">
          <w:rPr>
            <w:b w:val="0"/>
            <w:bCs w:val="0"/>
            <w:iCs w:val="0"/>
            <w:noProof/>
            <w:webHidden/>
          </w:rPr>
          <w:fldChar w:fldCharType="end"/>
        </w:r>
      </w:hyperlink>
    </w:p>
    <w:p w14:paraId="0D9C6F6A"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700" w:history="1">
        <w:r w:rsidRPr="00FF0B4E">
          <w:rPr>
            <w:rStyle w:val="Hyperlink"/>
            <w:b w:val="0"/>
            <w:bCs w:val="0"/>
            <w:i w:val="0"/>
            <w:noProof/>
            <w:color w:val="auto"/>
          </w:rPr>
          <w:t>11.1.</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Nutritional Status of the Province</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_Toc161945700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38</w:t>
        </w:r>
        <w:r w:rsidRPr="00FF0B4E">
          <w:rPr>
            <w:b w:val="0"/>
            <w:bCs w:val="0"/>
            <w:i w:val="0"/>
            <w:noProof/>
            <w:webHidden/>
          </w:rPr>
          <w:fldChar w:fldCharType="end"/>
        </w:r>
      </w:hyperlink>
    </w:p>
    <w:p w14:paraId="456ADB32" w14:textId="77777777" w:rsidR="00822E50" w:rsidRPr="00FF0B4E" w:rsidRDefault="00822E50">
      <w:pPr>
        <w:pStyle w:val="TOC2"/>
        <w:tabs>
          <w:tab w:val="left" w:pos="960"/>
          <w:tab w:val="right" w:leader="dot" w:pos="9350"/>
        </w:tabs>
        <w:rPr>
          <w:rFonts w:eastAsiaTheme="minorEastAsia" w:cstheme="minorBidi"/>
          <w:b w:val="0"/>
          <w:bCs w:val="0"/>
          <w:i w:val="0"/>
          <w:noProof/>
          <w:kern w:val="2"/>
          <w:lang w:val="en-KE" w:eastAsia="en-KE"/>
          <w14:ligatures w14:val="standardContextual"/>
        </w:rPr>
      </w:pPr>
      <w:hyperlink w:anchor="_Toc161945701" w:history="1">
        <w:r w:rsidRPr="00FF0B4E">
          <w:rPr>
            <w:rStyle w:val="Hyperlink"/>
            <w:b w:val="0"/>
            <w:bCs w:val="0"/>
            <w:i w:val="0"/>
            <w:noProof/>
            <w:color w:val="auto"/>
          </w:rPr>
          <w:t>11.2.</w:t>
        </w:r>
        <w:r w:rsidRPr="00FF0B4E">
          <w:rPr>
            <w:rFonts w:eastAsiaTheme="minorEastAsia" w:cstheme="minorBidi"/>
            <w:b w:val="0"/>
            <w:bCs w:val="0"/>
            <w:i w:val="0"/>
            <w:noProof/>
            <w:kern w:val="2"/>
            <w:lang w:val="en-KE" w:eastAsia="en-KE"/>
            <w14:ligatures w14:val="standardContextual"/>
          </w:rPr>
          <w:tab/>
        </w:r>
        <w:r w:rsidRPr="00FF0B4E">
          <w:rPr>
            <w:rStyle w:val="Hyperlink"/>
            <w:b w:val="0"/>
            <w:bCs w:val="0"/>
            <w:i w:val="0"/>
            <w:noProof/>
            <w:color w:val="auto"/>
          </w:rPr>
          <w:t>Determinants of Malnutrition</w:t>
        </w:r>
        <w:r w:rsidRPr="00FF0B4E">
          <w:rPr>
            <w:b w:val="0"/>
            <w:bCs w:val="0"/>
            <w:i w:val="0"/>
            <w:noProof/>
            <w:webHidden/>
          </w:rPr>
          <w:tab/>
        </w:r>
        <w:r w:rsidRPr="00FF0B4E">
          <w:rPr>
            <w:b w:val="0"/>
            <w:bCs w:val="0"/>
            <w:i w:val="0"/>
            <w:noProof/>
            <w:webHidden/>
          </w:rPr>
          <w:fldChar w:fldCharType="begin"/>
        </w:r>
        <w:r w:rsidRPr="00FF0B4E">
          <w:rPr>
            <w:b w:val="0"/>
            <w:bCs w:val="0"/>
            <w:i w:val="0"/>
            <w:noProof/>
            <w:webHidden/>
          </w:rPr>
          <w:instrText xml:space="preserve"> PAGEREF _Toc161945701 \h </w:instrText>
        </w:r>
        <w:r w:rsidRPr="00FF0B4E">
          <w:rPr>
            <w:b w:val="0"/>
            <w:bCs w:val="0"/>
            <w:i w:val="0"/>
            <w:noProof/>
            <w:webHidden/>
          </w:rPr>
        </w:r>
        <w:r w:rsidRPr="00FF0B4E">
          <w:rPr>
            <w:b w:val="0"/>
            <w:bCs w:val="0"/>
            <w:i w:val="0"/>
            <w:noProof/>
            <w:webHidden/>
          </w:rPr>
          <w:fldChar w:fldCharType="separate"/>
        </w:r>
        <w:r w:rsidRPr="00FF0B4E">
          <w:rPr>
            <w:b w:val="0"/>
            <w:bCs w:val="0"/>
            <w:i w:val="0"/>
            <w:noProof/>
            <w:webHidden/>
          </w:rPr>
          <w:t>38</w:t>
        </w:r>
        <w:r w:rsidRPr="00FF0B4E">
          <w:rPr>
            <w:b w:val="0"/>
            <w:bCs w:val="0"/>
            <w:i w:val="0"/>
            <w:noProof/>
            <w:webHidden/>
          </w:rPr>
          <w:fldChar w:fldCharType="end"/>
        </w:r>
      </w:hyperlink>
    </w:p>
    <w:p w14:paraId="2F67F504" w14:textId="77777777" w:rsidR="00822E50" w:rsidRPr="00FF0B4E" w:rsidRDefault="00822E50">
      <w:pPr>
        <w:pStyle w:val="TOC1"/>
        <w:tabs>
          <w:tab w:val="left" w:pos="72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2" w:history="1">
        <w:r w:rsidRPr="00FF0B4E">
          <w:rPr>
            <w:rStyle w:val="Hyperlink"/>
            <w:b w:val="0"/>
            <w:bCs w:val="0"/>
            <w:iCs w:val="0"/>
            <w:noProof/>
            <w:color w:val="auto"/>
          </w:rPr>
          <w:t>12.</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Conclusion and Recommendations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39</w:t>
        </w:r>
        <w:r w:rsidRPr="00FF0B4E">
          <w:rPr>
            <w:b w:val="0"/>
            <w:bCs w:val="0"/>
            <w:iCs w:val="0"/>
            <w:noProof/>
            <w:webHidden/>
          </w:rPr>
          <w:fldChar w:fldCharType="end"/>
        </w:r>
      </w:hyperlink>
    </w:p>
    <w:p w14:paraId="422F6ADA"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3" w:history="1">
        <w:r w:rsidRPr="00FF0B4E">
          <w:rPr>
            <w:rStyle w:val="Hyperlink"/>
            <w:b w:val="0"/>
            <w:bCs w:val="0"/>
            <w:iCs w:val="0"/>
            <w:noProof/>
            <w:color w:val="auto"/>
          </w:rPr>
          <w:t>Annexes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40</w:t>
        </w:r>
        <w:r w:rsidRPr="00FF0B4E">
          <w:rPr>
            <w:b w:val="0"/>
            <w:bCs w:val="0"/>
            <w:iCs w:val="0"/>
            <w:noProof/>
            <w:webHidden/>
          </w:rPr>
          <w:fldChar w:fldCharType="end"/>
        </w:r>
      </w:hyperlink>
    </w:p>
    <w:p w14:paraId="30230337" w14:textId="77777777" w:rsidR="00822E50" w:rsidRPr="00FF0B4E" w:rsidRDefault="00822E50">
      <w:pPr>
        <w:pStyle w:val="TOC1"/>
        <w:tabs>
          <w:tab w:val="left" w:pos="120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4" w:history="1">
        <w:r w:rsidRPr="00FF0B4E">
          <w:rPr>
            <w:rStyle w:val="Hyperlink"/>
            <w:b w:val="0"/>
            <w:bCs w:val="0"/>
            <w:iCs w:val="0"/>
            <w:noProof/>
            <w:color w:val="auto"/>
          </w:rPr>
          <w:t>Annex 1 -</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Cluster Selection</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40</w:t>
        </w:r>
        <w:r w:rsidRPr="00FF0B4E">
          <w:rPr>
            <w:b w:val="0"/>
            <w:bCs w:val="0"/>
            <w:iCs w:val="0"/>
            <w:noProof/>
            <w:webHidden/>
          </w:rPr>
          <w:fldChar w:fldCharType="end"/>
        </w:r>
      </w:hyperlink>
    </w:p>
    <w:p w14:paraId="4A3F1C89" w14:textId="77777777" w:rsidR="00822E50" w:rsidRPr="00FF0B4E" w:rsidRDefault="00822E50">
      <w:pPr>
        <w:pStyle w:val="TOC1"/>
        <w:tabs>
          <w:tab w:val="left" w:pos="120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5" w:history="1">
        <w:r w:rsidRPr="00FF0B4E">
          <w:rPr>
            <w:rStyle w:val="Hyperlink"/>
            <w:b w:val="0"/>
            <w:bCs w:val="0"/>
            <w:iCs w:val="0"/>
            <w:noProof/>
            <w:color w:val="auto"/>
          </w:rPr>
          <w:t>Annex 2 -</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Standardization Test Results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50</w:t>
        </w:r>
        <w:r w:rsidRPr="00FF0B4E">
          <w:rPr>
            <w:b w:val="0"/>
            <w:bCs w:val="0"/>
            <w:iCs w:val="0"/>
            <w:noProof/>
            <w:webHidden/>
          </w:rPr>
          <w:fldChar w:fldCharType="end"/>
        </w:r>
      </w:hyperlink>
    </w:p>
    <w:p w14:paraId="72369F84" w14:textId="77777777" w:rsidR="00822E50" w:rsidRPr="00FF0B4E" w:rsidRDefault="00822E50">
      <w:pPr>
        <w:pStyle w:val="TOC1"/>
        <w:tabs>
          <w:tab w:val="left" w:pos="120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6" w:history="1">
        <w:r w:rsidRPr="00FF0B4E">
          <w:rPr>
            <w:rStyle w:val="Hyperlink"/>
            <w:b w:val="0"/>
            <w:bCs w:val="0"/>
            <w:iCs w:val="0"/>
            <w:noProof/>
            <w:color w:val="auto"/>
          </w:rPr>
          <w:t>Annex 3 -</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Plausibility Check</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54</w:t>
        </w:r>
        <w:r w:rsidRPr="00FF0B4E">
          <w:rPr>
            <w:b w:val="0"/>
            <w:bCs w:val="0"/>
            <w:iCs w:val="0"/>
            <w:noProof/>
            <w:webHidden/>
          </w:rPr>
          <w:fldChar w:fldCharType="end"/>
        </w:r>
      </w:hyperlink>
    </w:p>
    <w:p w14:paraId="34926C70" w14:textId="77777777" w:rsidR="00822E50" w:rsidRPr="00FF0B4E" w:rsidRDefault="00822E50">
      <w:pPr>
        <w:pStyle w:val="TOC1"/>
        <w:tabs>
          <w:tab w:val="left" w:pos="120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7" w:history="1">
        <w:r w:rsidRPr="00FF0B4E">
          <w:rPr>
            <w:rStyle w:val="Hyperlink"/>
            <w:b w:val="0"/>
            <w:bCs w:val="0"/>
            <w:iCs w:val="0"/>
            <w:noProof/>
            <w:color w:val="auto"/>
          </w:rPr>
          <w:t>Annex 4 -</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Integrated Questionnaire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54</w:t>
        </w:r>
        <w:r w:rsidRPr="00FF0B4E">
          <w:rPr>
            <w:b w:val="0"/>
            <w:bCs w:val="0"/>
            <w:iCs w:val="0"/>
            <w:noProof/>
            <w:webHidden/>
          </w:rPr>
          <w:fldChar w:fldCharType="end"/>
        </w:r>
      </w:hyperlink>
    </w:p>
    <w:p w14:paraId="7056C44D" w14:textId="77777777" w:rsidR="00822E50" w:rsidRPr="00FF0B4E" w:rsidRDefault="00822E50">
      <w:pPr>
        <w:pStyle w:val="TOC1"/>
        <w:tabs>
          <w:tab w:val="left" w:pos="1200"/>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8" w:history="1">
        <w:r w:rsidRPr="00FF0B4E">
          <w:rPr>
            <w:rStyle w:val="Hyperlink"/>
            <w:b w:val="0"/>
            <w:bCs w:val="0"/>
            <w:iCs w:val="0"/>
            <w:noProof/>
            <w:color w:val="auto"/>
          </w:rPr>
          <w:t>Annex 5 -</w:t>
        </w:r>
        <w:r w:rsidRPr="00FF0B4E">
          <w:rPr>
            <w:rFonts w:eastAsiaTheme="minorEastAsia" w:cstheme="minorBidi"/>
            <w:b w:val="0"/>
            <w:bCs w:val="0"/>
            <w:iCs w:val="0"/>
            <w:noProof/>
            <w:kern w:val="2"/>
            <w:sz w:val="22"/>
            <w:szCs w:val="22"/>
            <w:lang w:val="en-KE" w:eastAsia="en-KE"/>
            <w14:ligatures w14:val="standardContextual"/>
          </w:rPr>
          <w:tab/>
        </w:r>
        <w:r w:rsidRPr="00FF0B4E">
          <w:rPr>
            <w:rStyle w:val="Hyperlink"/>
            <w:b w:val="0"/>
            <w:bCs w:val="0"/>
            <w:iCs w:val="0"/>
            <w:noProof/>
            <w:color w:val="auto"/>
          </w:rPr>
          <w:t>Map of Area</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54</w:t>
        </w:r>
        <w:r w:rsidRPr="00FF0B4E">
          <w:rPr>
            <w:b w:val="0"/>
            <w:bCs w:val="0"/>
            <w:iCs w:val="0"/>
            <w:noProof/>
            <w:webHidden/>
          </w:rPr>
          <w:fldChar w:fldCharType="end"/>
        </w:r>
      </w:hyperlink>
    </w:p>
    <w:p w14:paraId="4BB59FFA"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09" w:history="1">
        <w:r w:rsidRPr="00FF0B4E">
          <w:rPr>
            <w:rStyle w:val="Hyperlink"/>
            <w:b w:val="0"/>
            <w:bCs w:val="0"/>
            <w:iCs w:val="0"/>
            <w:noProof/>
            <w:color w:val="auto"/>
          </w:rPr>
          <w:t>References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_Toc161945709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55</w:t>
        </w:r>
        <w:r w:rsidRPr="00FF0B4E">
          <w:rPr>
            <w:b w:val="0"/>
            <w:bCs w:val="0"/>
            <w:iCs w:val="0"/>
            <w:noProof/>
            <w:webHidden/>
          </w:rPr>
          <w:fldChar w:fldCharType="end"/>
        </w:r>
      </w:hyperlink>
    </w:p>
    <w:p w14:paraId="11C72A24" w14:textId="77777777" w:rsidR="00BC28CE" w:rsidRPr="00FF0B4E" w:rsidRDefault="00000000">
      <w:r w:rsidRPr="00FF0B4E">
        <w:fldChar w:fldCharType="end"/>
      </w:r>
    </w:p>
    <w:p w14:paraId="20A86545" w14:textId="77777777" w:rsidR="00BC28CE" w:rsidRPr="00FF0B4E" w:rsidRDefault="00000000">
      <w:pPr>
        <w:rPr>
          <w:b/>
          <w:bCs/>
          <w:sz w:val="26"/>
          <w:szCs w:val="28"/>
        </w:rPr>
      </w:pPr>
      <w:r w:rsidRPr="00FF0B4E">
        <w:rPr>
          <w:b/>
          <w:bCs/>
          <w:sz w:val="26"/>
          <w:szCs w:val="28"/>
        </w:rPr>
        <w:t>List of tables</w:t>
      </w:r>
    </w:p>
    <w:p w14:paraId="7741D8C3" w14:textId="77777777" w:rsidR="00822E50" w:rsidRPr="00FF0B4E" w:rsidRDefault="0000000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r w:rsidRPr="00FF0B4E">
        <w:rPr>
          <w:b w:val="0"/>
          <w:bCs w:val="0"/>
          <w:iCs w:val="0"/>
        </w:rPr>
        <w:fldChar w:fldCharType="begin"/>
      </w:r>
      <w:r w:rsidRPr="00FF0B4E">
        <w:rPr>
          <w:b w:val="0"/>
          <w:bCs w:val="0"/>
          <w:iCs w:val="0"/>
        </w:rPr>
        <w:instrText>TOC \h \z \t "Table Caption,1"</w:instrText>
      </w:r>
      <w:r w:rsidR="00822E50" w:rsidRPr="00FF0B4E">
        <w:rPr>
          <w:b w:val="0"/>
          <w:bCs w:val="0"/>
          <w:iCs w:val="0"/>
        </w:rPr>
        <w:fldChar w:fldCharType="separate"/>
      </w:r>
      <w:hyperlink w:anchor="_Toc161945710" w:history="1">
        <w:r w:rsidR="00822E50" w:rsidRPr="00FF0B4E">
          <w:rPr>
            <w:rStyle w:val="Hyperlink"/>
            <w:b w:val="0"/>
            <w:bCs w:val="0"/>
            <w:iCs w:val="0"/>
            <w:noProof/>
            <w:color w:val="auto"/>
          </w:rPr>
          <w:t>Table -: Summary of Findings</w:t>
        </w:r>
        <w:r w:rsidR="00822E50" w:rsidRPr="00FF0B4E">
          <w:rPr>
            <w:b w:val="0"/>
            <w:bCs w:val="0"/>
            <w:iCs w:val="0"/>
            <w:noProof/>
            <w:webHidden/>
          </w:rPr>
          <w:tab/>
        </w:r>
        <w:r w:rsidR="00822E50" w:rsidRPr="00FF0B4E">
          <w:rPr>
            <w:b w:val="0"/>
            <w:bCs w:val="0"/>
            <w:iCs w:val="0"/>
            <w:noProof/>
            <w:webHidden/>
          </w:rPr>
          <w:fldChar w:fldCharType="begin"/>
        </w:r>
        <w:r w:rsidR="00822E50" w:rsidRPr="00FF0B4E">
          <w:rPr>
            <w:b w:val="0"/>
            <w:bCs w:val="0"/>
            <w:iCs w:val="0"/>
            <w:noProof/>
            <w:webHidden/>
          </w:rPr>
          <w:instrText xml:space="preserve"> PAGEREF _Toc161945710 \h </w:instrText>
        </w:r>
        <w:r w:rsidR="00822E50" w:rsidRPr="00FF0B4E">
          <w:rPr>
            <w:b w:val="0"/>
            <w:bCs w:val="0"/>
            <w:iCs w:val="0"/>
            <w:noProof/>
            <w:webHidden/>
          </w:rPr>
        </w:r>
        <w:r w:rsidR="00822E50" w:rsidRPr="00FF0B4E">
          <w:rPr>
            <w:b w:val="0"/>
            <w:bCs w:val="0"/>
            <w:iCs w:val="0"/>
            <w:noProof/>
            <w:webHidden/>
          </w:rPr>
          <w:fldChar w:fldCharType="separate"/>
        </w:r>
        <w:r w:rsidR="00822E50" w:rsidRPr="00FF0B4E">
          <w:rPr>
            <w:b w:val="0"/>
            <w:bCs w:val="0"/>
            <w:iCs w:val="0"/>
            <w:noProof/>
            <w:webHidden/>
          </w:rPr>
          <w:t>8</w:t>
        </w:r>
        <w:r w:rsidR="00822E50" w:rsidRPr="00FF0B4E">
          <w:rPr>
            <w:b w:val="0"/>
            <w:bCs w:val="0"/>
            <w:iCs w:val="0"/>
            <w:noProof/>
            <w:webHidden/>
          </w:rPr>
          <w:fldChar w:fldCharType="end"/>
        </w:r>
      </w:hyperlink>
    </w:p>
    <w:p w14:paraId="3425A2BB"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1" w:history="1">
        <w:r w:rsidRPr="00FF0B4E">
          <w:rPr>
            <w:rStyle w:val="Hyperlink"/>
            <w:b w:val="0"/>
            <w:bCs w:val="0"/>
            <w:iCs w:val="0"/>
            <w:noProof/>
            <w:color w:val="auto"/>
          </w:rPr>
          <w:t>Table -: Sample Size Calculation of Anthropometry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12</w:t>
        </w:r>
        <w:r w:rsidRPr="00FF0B4E">
          <w:rPr>
            <w:b w:val="0"/>
            <w:bCs w:val="0"/>
            <w:iCs w:val="0"/>
            <w:noProof/>
            <w:webHidden/>
          </w:rPr>
          <w:fldChar w:fldCharType="end"/>
        </w:r>
      </w:hyperlink>
    </w:p>
    <w:p w14:paraId="22E0BD5F"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2" w:history="1">
        <w:r w:rsidRPr="00FF0B4E">
          <w:rPr>
            <w:rStyle w:val="Hyperlink"/>
            <w:b w:val="0"/>
            <w:bCs w:val="0"/>
            <w:iCs w:val="0"/>
            <w:noProof/>
            <w:color w:val="auto"/>
          </w:rPr>
          <w:t>Table -: Sample Size Calculation of Mortality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13</w:t>
        </w:r>
        <w:r w:rsidRPr="00FF0B4E">
          <w:rPr>
            <w:b w:val="0"/>
            <w:bCs w:val="0"/>
            <w:iCs w:val="0"/>
            <w:noProof/>
            <w:webHidden/>
          </w:rPr>
          <w:fldChar w:fldCharType="end"/>
        </w:r>
      </w:hyperlink>
    </w:p>
    <w:p w14:paraId="22CDAC65"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3" w:history="1">
        <w:r w:rsidRPr="00FF0B4E">
          <w:rPr>
            <w:rStyle w:val="Hyperlink"/>
            <w:b w:val="0"/>
            <w:bCs w:val="0"/>
            <w:iCs w:val="0"/>
            <w:noProof/>
            <w:color w:val="auto"/>
          </w:rPr>
          <w:t>Table -: Standardized Integrated SMART Indicators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15</w:t>
        </w:r>
        <w:r w:rsidRPr="00FF0B4E">
          <w:rPr>
            <w:b w:val="0"/>
            <w:bCs w:val="0"/>
            <w:iCs w:val="0"/>
            <w:noProof/>
            <w:webHidden/>
          </w:rPr>
          <w:fldChar w:fldCharType="end"/>
        </w:r>
      </w:hyperlink>
    </w:p>
    <w:p w14:paraId="475B7216"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4" w:history="1">
        <w:r w:rsidRPr="00FF0B4E">
          <w:rPr>
            <w:rStyle w:val="Hyperlink"/>
            <w:b w:val="0"/>
            <w:bCs w:val="0"/>
            <w:iCs w:val="0"/>
            <w:noProof/>
            <w:color w:val="auto"/>
          </w:rPr>
          <w:t>Table -: MUAC cut off points for children 6-59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17</w:t>
        </w:r>
        <w:r w:rsidRPr="00FF0B4E">
          <w:rPr>
            <w:b w:val="0"/>
            <w:bCs w:val="0"/>
            <w:iCs w:val="0"/>
            <w:noProof/>
            <w:webHidden/>
          </w:rPr>
          <w:fldChar w:fldCharType="end"/>
        </w:r>
      </w:hyperlink>
    </w:p>
    <w:p w14:paraId="1A349634"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5" w:history="1">
        <w:r w:rsidRPr="00FF0B4E">
          <w:rPr>
            <w:rStyle w:val="Hyperlink"/>
            <w:b w:val="0"/>
            <w:bCs w:val="0"/>
            <w:iCs w:val="0"/>
            <w:noProof/>
            <w:color w:val="auto"/>
          </w:rPr>
          <w:t>Table -: Cut off points for the WHZ index expressed in Z-score, WHO Standards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17</w:t>
        </w:r>
        <w:r w:rsidRPr="00FF0B4E">
          <w:rPr>
            <w:b w:val="0"/>
            <w:bCs w:val="0"/>
            <w:iCs w:val="0"/>
            <w:noProof/>
            <w:webHidden/>
          </w:rPr>
          <w:fldChar w:fldCharType="end"/>
        </w:r>
      </w:hyperlink>
    </w:p>
    <w:p w14:paraId="6E73050E"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6" w:history="1">
        <w:r w:rsidRPr="00FF0B4E">
          <w:rPr>
            <w:rStyle w:val="Hyperlink"/>
            <w:b w:val="0"/>
            <w:bCs w:val="0"/>
            <w:iCs w:val="0"/>
            <w:noProof/>
            <w:color w:val="auto"/>
          </w:rPr>
          <w:t>Table -: Cut off points for the HAZ index expressed in Z-score, WHO Standards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17</w:t>
        </w:r>
        <w:r w:rsidRPr="00FF0B4E">
          <w:rPr>
            <w:b w:val="0"/>
            <w:bCs w:val="0"/>
            <w:iCs w:val="0"/>
            <w:noProof/>
            <w:webHidden/>
          </w:rPr>
          <w:fldChar w:fldCharType="end"/>
        </w:r>
      </w:hyperlink>
    </w:p>
    <w:p w14:paraId="4D95E4D1"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7" w:history="1">
        <w:r w:rsidRPr="00FF0B4E">
          <w:rPr>
            <w:rStyle w:val="Hyperlink"/>
            <w:b w:val="0"/>
            <w:bCs w:val="0"/>
            <w:iCs w:val="0"/>
            <w:noProof/>
            <w:color w:val="auto"/>
          </w:rPr>
          <w:t>Table -: Cut off points for WAZ Index expressed in Z-scores, WHO Standards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17</w:t>
        </w:r>
        <w:r w:rsidRPr="00FF0B4E">
          <w:rPr>
            <w:b w:val="0"/>
            <w:bCs w:val="0"/>
            <w:iCs w:val="0"/>
            <w:noProof/>
            <w:webHidden/>
          </w:rPr>
          <w:fldChar w:fldCharType="end"/>
        </w:r>
      </w:hyperlink>
    </w:p>
    <w:p w14:paraId="0A781426"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8" w:history="1">
        <w:r w:rsidRPr="00FF0B4E">
          <w:rPr>
            <w:rStyle w:val="Hyperlink"/>
            <w:b w:val="0"/>
            <w:bCs w:val="0"/>
            <w:iCs w:val="0"/>
            <w:noProof/>
            <w:color w:val="auto"/>
          </w:rPr>
          <w:t>Table -: Proportion of Household and Child Sample Achieved (Anthropometry Data)</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18</w:t>
        </w:r>
        <w:r w:rsidRPr="00FF0B4E">
          <w:rPr>
            <w:b w:val="0"/>
            <w:bCs w:val="0"/>
            <w:iCs w:val="0"/>
            <w:noProof/>
            <w:webHidden/>
          </w:rPr>
          <w:fldChar w:fldCharType="end"/>
        </w:r>
      </w:hyperlink>
    </w:p>
    <w:p w14:paraId="3BA9B0B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19" w:history="1">
        <w:r w:rsidRPr="00FF0B4E">
          <w:rPr>
            <w:rStyle w:val="Hyperlink"/>
            <w:b w:val="0"/>
            <w:bCs w:val="0"/>
            <w:iCs w:val="0"/>
            <w:noProof/>
            <w:color w:val="auto"/>
          </w:rPr>
          <w:t>Table -: Distribution of age and sex among children 6-59 months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_Toc161945719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19</w:t>
        </w:r>
        <w:r w:rsidRPr="00FF0B4E">
          <w:rPr>
            <w:b w:val="0"/>
            <w:bCs w:val="0"/>
            <w:iCs w:val="0"/>
            <w:noProof/>
            <w:webHidden/>
          </w:rPr>
          <w:fldChar w:fldCharType="end"/>
        </w:r>
      </w:hyperlink>
    </w:p>
    <w:p w14:paraId="77EC9406"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0" w:history="1">
        <w:r w:rsidRPr="00FF0B4E">
          <w:rPr>
            <w:rStyle w:val="Hyperlink"/>
            <w:b w:val="0"/>
            <w:bCs w:val="0"/>
            <w:iCs w:val="0"/>
            <w:noProof/>
            <w:color w:val="auto"/>
          </w:rPr>
          <w:t>Table -: Mean Z-scores, Design Effects, Missing and Out-of-Range Data of Anthropometric Indicators among Children 6-59 months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19</w:t>
        </w:r>
        <w:r w:rsidRPr="00FF0B4E">
          <w:rPr>
            <w:b w:val="0"/>
            <w:bCs w:val="0"/>
            <w:iCs w:val="0"/>
            <w:noProof/>
            <w:webHidden/>
          </w:rPr>
          <w:fldChar w:fldCharType="end"/>
        </w:r>
      </w:hyperlink>
    </w:p>
    <w:p w14:paraId="49F79195"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1" w:history="1">
        <w:r w:rsidRPr="00FF0B4E">
          <w:rPr>
            <w:rStyle w:val="Hyperlink"/>
            <w:b w:val="0"/>
            <w:bCs w:val="0"/>
            <w:iCs w:val="0"/>
            <w:noProof/>
            <w:color w:val="auto"/>
          </w:rPr>
          <w:t>Table -: Prevalence of Acute Malnutrition by WHZ (and/or oedema) by Severity and Sex among Children 6-59 months (SMART exclusions), WHO 2006 Reference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20</w:t>
        </w:r>
        <w:r w:rsidRPr="00FF0B4E">
          <w:rPr>
            <w:b w:val="0"/>
            <w:bCs w:val="0"/>
            <w:iCs w:val="0"/>
            <w:noProof/>
            <w:webHidden/>
          </w:rPr>
          <w:fldChar w:fldCharType="end"/>
        </w:r>
      </w:hyperlink>
    </w:p>
    <w:p w14:paraId="3998CE15"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2" w:history="1">
        <w:r w:rsidRPr="00FF0B4E">
          <w:rPr>
            <w:rStyle w:val="Hyperlink"/>
            <w:b w:val="0"/>
            <w:bCs w:val="0"/>
            <w:iCs w:val="0"/>
            <w:noProof/>
            <w:color w:val="auto"/>
          </w:rPr>
          <w:t>Table -: Prevalence of Acute Malnutrition per WHZ and/or Oedema by Severity and Age Group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20</w:t>
        </w:r>
        <w:r w:rsidRPr="00FF0B4E">
          <w:rPr>
            <w:b w:val="0"/>
            <w:bCs w:val="0"/>
            <w:iCs w:val="0"/>
            <w:noProof/>
            <w:webHidden/>
          </w:rPr>
          <w:fldChar w:fldCharType="end"/>
        </w:r>
      </w:hyperlink>
    </w:p>
    <w:p w14:paraId="3626C40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3" w:history="1">
        <w:r w:rsidRPr="00FF0B4E">
          <w:rPr>
            <w:rStyle w:val="Hyperlink"/>
            <w:b w:val="0"/>
            <w:bCs w:val="0"/>
            <w:iCs w:val="0"/>
            <w:noProof/>
            <w:color w:val="auto"/>
          </w:rPr>
          <w:t>Table -: Distribution of Severe Acute Malnutrition per Oedema among Children 6-59 months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21</w:t>
        </w:r>
        <w:r w:rsidRPr="00FF0B4E">
          <w:rPr>
            <w:b w:val="0"/>
            <w:bCs w:val="0"/>
            <w:iCs w:val="0"/>
            <w:noProof/>
            <w:webHidden/>
          </w:rPr>
          <w:fldChar w:fldCharType="end"/>
        </w:r>
      </w:hyperlink>
    </w:p>
    <w:p w14:paraId="083A6C67"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4" w:history="1">
        <w:r w:rsidRPr="00FF0B4E">
          <w:rPr>
            <w:rStyle w:val="Hyperlink"/>
            <w:b w:val="0"/>
            <w:bCs w:val="0"/>
            <w:iCs w:val="0"/>
            <w:noProof/>
            <w:color w:val="auto"/>
          </w:rPr>
          <w:t>Table -: Prevalence of acute malnutrition based on MUAC cut off's (and/or oedema) and by sex</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22</w:t>
        </w:r>
        <w:r w:rsidRPr="00FF0B4E">
          <w:rPr>
            <w:b w:val="0"/>
            <w:bCs w:val="0"/>
            <w:iCs w:val="0"/>
            <w:noProof/>
            <w:webHidden/>
          </w:rPr>
          <w:fldChar w:fldCharType="end"/>
        </w:r>
      </w:hyperlink>
    </w:p>
    <w:p w14:paraId="445D5F91"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5" w:history="1">
        <w:r w:rsidRPr="00FF0B4E">
          <w:rPr>
            <w:rStyle w:val="Hyperlink"/>
            <w:b w:val="0"/>
            <w:bCs w:val="0"/>
            <w:iCs w:val="0"/>
            <w:noProof/>
            <w:color w:val="auto"/>
          </w:rPr>
          <w:t>Table -: Prevalence of Acute Malnutrition per MUAC and/or Oedema by Severity and Age Group</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22</w:t>
        </w:r>
        <w:r w:rsidRPr="00FF0B4E">
          <w:rPr>
            <w:b w:val="0"/>
            <w:bCs w:val="0"/>
            <w:iCs w:val="0"/>
            <w:noProof/>
            <w:webHidden/>
          </w:rPr>
          <w:fldChar w:fldCharType="end"/>
        </w:r>
      </w:hyperlink>
    </w:p>
    <w:p w14:paraId="4D2827B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6" w:history="1">
        <w:r w:rsidRPr="00FF0B4E">
          <w:rPr>
            <w:rStyle w:val="Hyperlink"/>
            <w:b w:val="0"/>
            <w:bCs w:val="0"/>
            <w:iCs w:val="0"/>
            <w:noProof/>
            <w:color w:val="auto"/>
          </w:rPr>
          <w:t>Table -: Prevalence of combined GAM and SAM based on WHZ and MUAC cut off's (and/or oedema) and by sex</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23</w:t>
        </w:r>
        <w:r w:rsidRPr="00FF0B4E">
          <w:rPr>
            <w:b w:val="0"/>
            <w:bCs w:val="0"/>
            <w:iCs w:val="0"/>
            <w:noProof/>
            <w:webHidden/>
          </w:rPr>
          <w:fldChar w:fldCharType="end"/>
        </w:r>
      </w:hyperlink>
    </w:p>
    <w:p w14:paraId="1887D8B1"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7" w:history="1">
        <w:r w:rsidRPr="00FF0B4E">
          <w:rPr>
            <w:rStyle w:val="Hyperlink"/>
            <w:b w:val="0"/>
            <w:bCs w:val="0"/>
            <w:iCs w:val="0"/>
            <w:noProof/>
            <w:color w:val="auto"/>
          </w:rPr>
          <w:t>Table -: Detailed number for combined GAM and SAM</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23</w:t>
        </w:r>
        <w:r w:rsidRPr="00FF0B4E">
          <w:rPr>
            <w:b w:val="0"/>
            <w:bCs w:val="0"/>
            <w:iCs w:val="0"/>
            <w:noProof/>
            <w:webHidden/>
          </w:rPr>
          <w:fldChar w:fldCharType="end"/>
        </w:r>
      </w:hyperlink>
    </w:p>
    <w:p w14:paraId="2E90CFE6"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8" w:history="1">
        <w:r w:rsidRPr="00FF0B4E">
          <w:rPr>
            <w:rStyle w:val="Hyperlink"/>
            <w:b w:val="0"/>
            <w:bCs w:val="0"/>
            <w:iCs w:val="0"/>
            <w:noProof/>
            <w:color w:val="auto"/>
          </w:rPr>
          <w:t>Table -: Prevalence of Chronic Malnutrition by HAZ by Severity and Sex among Children 6-59 months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25</w:t>
        </w:r>
        <w:r w:rsidRPr="00FF0B4E">
          <w:rPr>
            <w:b w:val="0"/>
            <w:bCs w:val="0"/>
            <w:iCs w:val="0"/>
            <w:noProof/>
            <w:webHidden/>
          </w:rPr>
          <w:fldChar w:fldCharType="end"/>
        </w:r>
      </w:hyperlink>
    </w:p>
    <w:p w14:paraId="04847CFB"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29" w:history="1">
        <w:r w:rsidRPr="00FF0B4E">
          <w:rPr>
            <w:rStyle w:val="Hyperlink"/>
            <w:b w:val="0"/>
            <w:bCs w:val="0"/>
            <w:iCs w:val="0"/>
            <w:noProof/>
            <w:color w:val="auto"/>
          </w:rPr>
          <w:t>Table -: Prevalence of Chronic Malnutrition per HAZ by Severity and Age Group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_Toc161945729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25</w:t>
        </w:r>
        <w:r w:rsidRPr="00FF0B4E">
          <w:rPr>
            <w:b w:val="0"/>
            <w:bCs w:val="0"/>
            <w:iCs w:val="0"/>
            <w:noProof/>
            <w:webHidden/>
          </w:rPr>
          <w:fldChar w:fldCharType="end"/>
        </w:r>
      </w:hyperlink>
    </w:p>
    <w:p w14:paraId="69BB552A"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0" w:history="1">
        <w:r w:rsidRPr="00FF0B4E">
          <w:rPr>
            <w:rStyle w:val="Hyperlink"/>
            <w:b w:val="0"/>
            <w:bCs w:val="0"/>
            <w:iCs w:val="0"/>
            <w:noProof/>
            <w:color w:val="auto"/>
          </w:rPr>
          <w:t>Table -: Prevalence of Underweight by WAZ by Severity and Sex among Children 6-59 months (SMART exclusions), WHO 2006 Reference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27</w:t>
        </w:r>
        <w:r w:rsidRPr="00FF0B4E">
          <w:rPr>
            <w:b w:val="0"/>
            <w:bCs w:val="0"/>
            <w:iCs w:val="0"/>
            <w:noProof/>
            <w:webHidden/>
          </w:rPr>
          <w:fldChar w:fldCharType="end"/>
        </w:r>
      </w:hyperlink>
    </w:p>
    <w:p w14:paraId="52BF1E00"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1" w:history="1">
        <w:r w:rsidRPr="00FF0B4E">
          <w:rPr>
            <w:rStyle w:val="Hyperlink"/>
            <w:b w:val="0"/>
            <w:bCs w:val="0"/>
            <w:iCs w:val="0"/>
            <w:noProof/>
            <w:color w:val="auto"/>
          </w:rPr>
          <w:t>Table -: Prevalence of Underweight per WAZ by Severity and Age Group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27</w:t>
        </w:r>
        <w:r w:rsidRPr="00FF0B4E">
          <w:rPr>
            <w:b w:val="0"/>
            <w:bCs w:val="0"/>
            <w:iCs w:val="0"/>
            <w:noProof/>
            <w:webHidden/>
          </w:rPr>
          <w:fldChar w:fldCharType="end"/>
        </w:r>
      </w:hyperlink>
    </w:p>
    <w:p w14:paraId="08EEB581"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2" w:history="1">
        <w:r w:rsidRPr="00FF0B4E">
          <w:rPr>
            <w:rStyle w:val="Hyperlink"/>
            <w:b w:val="0"/>
            <w:bCs w:val="0"/>
            <w:iCs w:val="0"/>
            <w:noProof/>
            <w:color w:val="auto"/>
          </w:rPr>
          <w:t>Table -: Prevalence of overweight based on weight for height cut off's and by sex (no oedema)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29</w:t>
        </w:r>
        <w:r w:rsidRPr="00FF0B4E">
          <w:rPr>
            <w:b w:val="0"/>
            <w:bCs w:val="0"/>
            <w:iCs w:val="0"/>
            <w:noProof/>
            <w:webHidden/>
          </w:rPr>
          <w:fldChar w:fldCharType="end"/>
        </w:r>
      </w:hyperlink>
    </w:p>
    <w:p w14:paraId="48B5BEA0"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3" w:history="1">
        <w:r w:rsidRPr="00FF0B4E">
          <w:rPr>
            <w:rStyle w:val="Hyperlink"/>
            <w:b w:val="0"/>
            <w:bCs w:val="0"/>
            <w:iCs w:val="0"/>
            <w:noProof/>
            <w:color w:val="auto"/>
          </w:rPr>
          <w:t>Table -: Prevalence of overweight by age, based on weight for height (no oedema) (SMART exclusions)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29</w:t>
        </w:r>
        <w:r w:rsidRPr="00FF0B4E">
          <w:rPr>
            <w:b w:val="0"/>
            <w:bCs w:val="0"/>
            <w:iCs w:val="0"/>
            <w:noProof/>
            <w:webHidden/>
          </w:rPr>
          <w:fldChar w:fldCharType="end"/>
        </w:r>
      </w:hyperlink>
    </w:p>
    <w:p w14:paraId="7F5ED2C4"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4" w:history="1">
        <w:r w:rsidRPr="00FF0B4E">
          <w:rPr>
            <w:rStyle w:val="Hyperlink"/>
            <w:b w:val="0"/>
            <w:bCs w:val="0"/>
            <w:iCs w:val="0"/>
            <w:noProof/>
            <w:color w:val="auto"/>
          </w:rPr>
          <w:t>Table -: Average FCS*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30</w:t>
        </w:r>
        <w:r w:rsidRPr="00FF0B4E">
          <w:rPr>
            <w:b w:val="0"/>
            <w:bCs w:val="0"/>
            <w:iCs w:val="0"/>
            <w:noProof/>
            <w:webHidden/>
          </w:rPr>
          <w:fldChar w:fldCharType="end"/>
        </w:r>
      </w:hyperlink>
    </w:p>
    <w:p w14:paraId="73C8B6D1"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5" w:history="1">
        <w:r w:rsidRPr="00FF0B4E">
          <w:rPr>
            <w:rStyle w:val="Hyperlink"/>
            <w:b w:val="0"/>
            <w:bCs w:val="0"/>
            <w:iCs w:val="0"/>
            <w:noProof/>
            <w:color w:val="auto"/>
          </w:rPr>
          <w:t>Table -: Food Consumption Score by Category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30</w:t>
        </w:r>
        <w:r w:rsidRPr="00FF0B4E">
          <w:rPr>
            <w:b w:val="0"/>
            <w:bCs w:val="0"/>
            <w:iCs w:val="0"/>
            <w:noProof/>
            <w:webHidden/>
          </w:rPr>
          <w:fldChar w:fldCharType="end"/>
        </w:r>
      </w:hyperlink>
    </w:p>
    <w:p w14:paraId="761A557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6" w:history="1">
        <w:r w:rsidRPr="00FF0B4E">
          <w:rPr>
            <w:rStyle w:val="Hyperlink"/>
            <w:b w:val="0"/>
            <w:bCs w:val="0"/>
            <w:iCs w:val="0"/>
            <w:noProof/>
            <w:color w:val="auto"/>
          </w:rPr>
          <w:t>Table -: Negative coping strategies used by the surveyed population over the past 7 days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30</w:t>
        </w:r>
        <w:r w:rsidRPr="00FF0B4E">
          <w:rPr>
            <w:b w:val="0"/>
            <w:bCs w:val="0"/>
            <w:iCs w:val="0"/>
            <w:noProof/>
            <w:webHidden/>
          </w:rPr>
          <w:fldChar w:fldCharType="end"/>
        </w:r>
      </w:hyperlink>
    </w:p>
    <w:p w14:paraId="6B4D21C6"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7" w:history="1">
        <w:r w:rsidRPr="00FF0B4E">
          <w:rPr>
            <w:rStyle w:val="Hyperlink"/>
            <w:b w:val="0"/>
            <w:bCs w:val="0"/>
            <w:iCs w:val="0"/>
            <w:noProof/>
            <w:color w:val="auto"/>
          </w:rPr>
          <w:t>Table -: Average rCSI</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31</w:t>
        </w:r>
        <w:r w:rsidRPr="00FF0B4E">
          <w:rPr>
            <w:b w:val="0"/>
            <w:bCs w:val="0"/>
            <w:iCs w:val="0"/>
            <w:noProof/>
            <w:webHidden/>
          </w:rPr>
          <w:fldChar w:fldCharType="end"/>
        </w:r>
      </w:hyperlink>
    </w:p>
    <w:p w14:paraId="091592A8"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8" w:history="1">
        <w:r w:rsidRPr="00FF0B4E">
          <w:rPr>
            <w:rStyle w:val="Hyperlink"/>
            <w:b w:val="0"/>
            <w:bCs w:val="0"/>
            <w:iCs w:val="0"/>
            <w:noProof/>
            <w:color w:val="auto"/>
          </w:rPr>
          <w:t>Table -: Median Household Hunger Score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31</w:t>
        </w:r>
        <w:r w:rsidRPr="00FF0B4E">
          <w:rPr>
            <w:b w:val="0"/>
            <w:bCs w:val="0"/>
            <w:iCs w:val="0"/>
            <w:noProof/>
            <w:webHidden/>
          </w:rPr>
          <w:fldChar w:fldCharType="end"/>
        </w:r>
      </w:hyperlink>
    </w:p>
    <w:p w14:paraId="1BA7F5E6"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39" w:history="1">
        <w:r w:rsidRPr="00FF0B4E">
          <w:rPr>
            <w:rStyle w:val="Hyperlink"/>
            <w:b w:val="0"/>
            <w:bCs w:val="0"/>
            <w:iCs w:val="0"/>
            <w:noProof/>
            <w:color w:val="auto"/>
          </w:rPr>
          <w:t>Table -: Household Hunger Score by Category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_Toc161945739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31</w:t>
        </w:r>
        <w:r w:rsidRPr="00FF0B4E">
          <w:rPr>
            <w:b w:val="0"/>
            <w:bCs w:val="0"/>
            <w:iCs w:val="0"/>
            <w:noProof/>
            <w:webHidden/>
          </w:rPr>
          <w:fldChar w:fldCharType="end"/>
        </w:r>
      </w:hyperlink>
    </w:p>
    <w:p w14:paraId="15913B3E"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0" w:history="1">
        <w:r w:rsidRPr="00FF0B4E">
          <w:rPr>
            <w:rStyle w:val="Hyperlink"/>
            <w:b w:val="0"/>
            <w:bCs w:val="0"/>
            <w:iCs w:val="0"/>
            <w:noProof/>
            <w:color w:val="auto"/>
          </w:rPr>
          <w:t>Table -: Water Quality (Adapt list to water sources available in the local setting)</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32</w:t>
        </w:r>
        <w:r w:rsidRPr="00FF0B4E">
          <w:rPr>
            <w:b w:val="0"/>
            <w:bCs w:val="0"/>
            <w:iCs w:val="0"/>
            <w:noProof/>
            <w:webHidden/>
          </w:rPr>
          <w:fldChar w:fldCharType="end"/>
        </w:r>
      </w:hyperlink>
    </w:p>
    <w:p w14:paraId="7F9A8652"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1" w:history="1">
        <w:r w:rsidRPr="00FF0B4E">
          <w:rPr>
            <w:rStyle w:val="Hyperlink"/>
            <w:b w:val="0"/>
            <w:bCs w:val="0"/>
            <w:iCs w:val="0"/>
            <w:noProof/>
            <w:color w:val="auto"/>
          </w:rPr>
          <w:t>Table -: Proportion of households practicing household water treatment</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32</w:t>
        </w:r>
        <w:r w:rsidRPr="00FF0B4E">
          <w:rPr>
            <w:b w:val="0"/>
            <w:bCs w:val="0"/>
            <w:iCs w:val="0"/>
            <w:noProof/>
            <w:webHidden/>
          </w:rPr>
          <w:fldChar w:fldCharType="end"/>
        </w:r>
      </w:hyperlink>
    </w:p>
    <w:p w14:paraId="661FFEF5"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2" w:history="1">
        <w:r w:rsidRPr="00FF0B4E">
          <w:rPr>
            <w:rStyle w:val="Hyperlink"/>
            <w:b w:val="0"/>
            <w:bCs w:val="0"/>
            <w:iCs w:val="0"/>
            <w:noProof/>
            <w:color w:val="auto"/>
          </w:rPr>
          <w:t>Table -: Household Water Treatment Use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33</w:t>
        </w:r>
        <w:r w:rsidRPr="00FF0B4E">
          <w:rPr>
            <w:b w:val="0"/>
            <w:bCs w:val="0"/>
            <w:iCs w:val="0"/>
            <w:noProof/>
            <w:webHidden/>
          </w:rPr>
          <w:fldChar w:fldCharType="end"/>
        </w:r>
      </w:hyperlink>
    </w:p>
    <w:p w14:paraId="7484F0EA"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3" w:history="1">
        <w:r w:rsidRPr="00FF0B4E">
          <w:rPr>
            <w:rStyle w:val="Hyperlink"/>
            <w:b w:val="0"/>
            <w:bCs w:val="0"/>
            <w:iCs w:val="0"/>
            <w:noProof/>
            <w:color w:val="auto"/>
          </w:rPr>
          <w:t>Table -: Safe Excreta Disposal (Adapt list to sanitation facilities available in the local setting)</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34</w:t>
        </w:r>
        <w:r w:rsidRPr="00FF0B4E">
          <w:rPr>
            <w:b w:val="0"/>
            <w:bCs w:val="0"/>
            <w:iCs w:val="0"/>
            <w:noProof/>
            <w:webHidden/>
          </w:rPr>
          <w:fldChar w:fldCharType="end"/>
        </w:r>
      </w:hyperlink>
    </w:p>
    <w:p w14:paraId="2B1B412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4" w:history="1">
        <w:r w:rsidRPr="00FF0B4E">
          <w:rPr>
            <w:rStyle w:val="Hyperlink"/>
            <w:b w:val="0"/>
            <w:bCs w:val="0"/>
            <w:iCs w:val="0"/>
            <w:noProof/>
            <w:color w:val="auto"/>
          </w:rPr>
          <w:t>Table -: Access to a Specific Handwashing Device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34</w:t>
        </w:r>
        <w:r w:rsidRPr="00FF0B4E">
          <w:rPr>
            <w:b w:val="0"/>
            <w:bCs w:val="0"/>
            <w:iCs w:val="0"/>
            <w:noProof/>
            <w:webHidden/>
          </w:rPr>
          <w:fldChar w:fldCharType="end"/>
        </w:r>
      </w:hyperlink>
    </w:p>
    <w:p w14:paraId="4F9EA691"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5" w:history="1">
        <w:r w:rsidRPr="00FF0B4E">
          <w:rPr>
            <w:rStyle w:val="Hyperlink"/>
            <w:b w:val="0"/>
            <w:bCs w:val="0"/>
            <w:iCs w:val="0"/>
            <w:noProof/>
            <w:color w:val="auto"/>
          </w:rPr>
          <w:t>Table -: Handwashing devices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34</w:t>
        </w:r>
        <w:r w:rsidRPr="00FF0B4E">
          <w:rPr>
            <w:b w:val="0"/>
            <w:bCs w:val="0"/>
            <w:iCs w:val="0"/>
            <w:noProof/>
            <w:webHidden/>
          </w:rPr>
          <w:fldChar w:fldCharType="end"/>
        </w:r>
      </w:hyperlink>
    </w:p>
    <w:p w14:paraId="1468F420"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6" w:history="1">
        <w:r w:rsidRPr="00FF0B4E">
          <w:rPr>
            <w:rStyle w:val="Hyperlink"/>
            <w:b w:val="0"/>
            <w:bCs w:val="0"/>
            <w:iCs w:val="0"/>
            <w:noProof/>
            <w:color w:val="auto"/>
          </w:rPr>
          <w:t>Table -: Water Quantity 1: Amount of Litres of Water Used Per Person Per Day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35</w:t>
        </w:r>
        <w:r w:rsidRPr="00FF0B4E">
          <w:rPr>
            <w:b w:val="0"/>
            <w:bCs w:val="0"/>
            <w:iCs w:val="0"/>
            <w:noProof/>
            <w:webHidden/>
          </w:rPr>
          <w:fldChar w:fldCharType="end"/>
        </w:r>
      </w:hyperlink>
    </w:p>
    <w:p w14:paraId="196A353C"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7" w:history="1">
        <w:r w:rsidRPr="00FF0B4E">
          <w:rPr>
            <w:rStyle w:val="Hyperlink"/>
            <w:b w:val="0"/>
            <w:bCs w:val="0"/>
            <w:iCs w:val="0"/>
            <w:noProof/>
            <w:color w:val="auto"/>
          </w:rPr>
          <w:t>Table -: Proportion of households that use domestic water collected from protected/treated sources with protected containers only</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35</w:t>
        </w:r>
        <w:r w:rsidRPr="00FF0B4E">
          <w:rPr>
            <w:b w:val="0"/>
            <w:bCs w:val="0"/>
            <w:iCs w:val="0"/>
            <w:noProof/>
            <w:webHidden/>
          </w:rPr>
          <w:fldChar w:fldCharType="end"/>
        </w:r>
      </w:hyperlink>
    </w:p>
    <w:p w14:paraId="1A890ED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8" w:history="1">
        <w:r w:rsidRPr="00FF0B4E">
          <w:rPr>
            <w:rStyle w:val="Hyperlink"/>
            <w:b w:val="0"/>
            <w:bCs w:val="0"/>
            <w:iCs w:val="0"/>
            <w:noProof/>
            <w:color w:val="auto"/>
          </w:rPr>
          <w:t>Table -: Vitamin A supplementation coverage for children aged 6-59 months within the past 6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35</w:t>
        </w:r>
        <w:r w:rsidRPr="00FF0B4E">
          <w:rPr>
            <w:b w:val="0"/>
            <w:bCs w:val="0"/>
            <w:iCs w:val="0"/>
            <w:noProof/>
            <w:webHidden/>
          </w:rPr>
          <w:fldChar w:fldCharType="end"/>
        </w:r>
      </w:hyperlink>
    </w:p>
    <w:p w14:paraId="170A67D5"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49" w:history="1">
        <w:r w:rsidRPr="00FF0B4E">
          <w:rPr>
            <w:rStyle w:val="Hyperlink"/>
            <w:b w:val="0"/>
            <w:bCs w:val="0"/>
            <w:iCs w:val="0"/>
            <w:noProof/>
            <w:color w:val="auto"/>
          </w:rPr>
          <w:t>Table -: Deworming coverage for children aged 12-59 months within the past 6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_Toc161945749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36</w:t>
        </w:r>
        <w:r w:rsidRPr="00FF0B4E">
          <w:rPr>
            <w:b w:val="0"/>
            <w:bCs w:val="0"/>
            <w:iCs w:val="0"/>
            <w:noProof/>
            <w:webHidden/>
          </w:rPr>
          <w:fldChar w:fldCharType="end"/>
        </w:r>
      </w:hyperlink>
    </w:p>
    <w:p w14:paraId="053E0C2E"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0" w:history="1">
        <w:r w:rsidRPr="00FF0B4E">
          <w:rPr>
            <w:rStyle w:val="Hyperlink"/>
            <w:b w:val="0"/>
            <w:bCs w:val="0"/>
            <w:iCs w:val="0"/>
            <w:noProof/>
            <w:color w:val="auto"/>
          </w:rPr>
          <w:t>Table -: Measles vaccination coverage for children aged 9-59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36</w:t>
        </w:r>
        <w:r w:rsidRPr="00FF0B4E">
          <w:rPr>
            <w:b w:val="0"/>
            <w:bCs w:val="0"/>
            <w:iCs w:val="0"/>
            <w:noProof/>
            <w:webHidden/>
          </w:rPr>
          <w:fldChar w:fldCharType="end"/>
        </w:r>
      </w:hyperlink>
    </w:p>
    <w:p w14:paraId="38660439"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1" w:history="1">
        <w:r w:rsidRPr="00FF0B4E">
          <w:rPr>
            <w:rStyle w:val="Hyperlink"/>
            <w:b w:val="0"/>
            <w:bCs w:val="0"/>
            <w:iCs w:val="0"/>
            <w:noProof/>
            <w:color w:val="auto"/>
          </w:rPr>
          <w:t>Table -: Measles vaccination coverage for children aged 9-23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36</w:t>
        </w:r>
        <w:r w:rsidRPr="00FF0B4E">
          <w:rPr>
            <w:b w:val="0"/>
            <w:bCs w:val="0"/>
            <w:iCs w:val="0"/>
            <w:noProof/>
            <w:webHidden/>
          </w:rPr>
          <w:fldChar w:fldCharType="end"/>
        </w:r>
      </w:hyperlink>
    </w:p>
    <w:p w14:paraId="3CBCCB6F"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2" w:history="1">
        <w:r w:rsidRPr="00FF0B4E">
          <w:rPr>
            <w:rStyle w:val="Hyperlink"/>
            <w:b w:val="0"/>
            <w:bCs w:val="0"/>
            <w:iCs w:val="0"/>
            <w:noProof/>
            <w:color w:val="auto"/>
          </w:rPr>
          <w:t>Table -: Prevalence of ARI symptoms, fever and diarrhoea in the two weeks preceding the survey for children aged 6-59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37</w:t>
        </w:r>
        <w:r w:rsidRPr="00FF0B4E">
          <w:rPr>
            <w:b w:val="0"/>
            <w:bCs w:val="0"/>
            <w:iCs w:val="0"/>
            <w:noProof/>
            <w:webHidden/>
          </w:rPr>
          <w:fldChar w:fldCharType="end"/>
        </w:r>
      </w:hyperlink>
    </w:p>
    <w:p w14:paraId="31D53B2A"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3" w:history="1">
        <w:r w:rsidRPr="00FF0B4E">
          <w:rPr>
            <w:rStyle w:val="Hyperlink"/>
            <w:b w:val="0"/>
            <w:bCs w:val="0"/>
            <w:iCs w:val="0"/>
            <w:noProof/>
            <w:color w:val="auto"/>
          </w:rPr>
          <w:t>Table -: ORS and zinc use during diarrhoea episode for children aged 6-59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37</w:t>
        </w:r>
        <w:r w:rsidRPr="00FF0B4E">
          <w:rPr>
            <w:b w:val="0"/>
            <w:bCs w:val="0"/>
            <w:iCs w:val="0"/>
            <w:noProof/>
            <w:webHidden/>
          </w:rPr>
          <w:fldChar w:fldCharType="end"/>
        </w:r>
      </w:hyperlink>
    </w:p>
    <w:p w14:paraId="5C4B8BEE"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4" w:history="1">
        <w:r w:rsidRPr="00FF0B4E">
          <w:rPr>
            <w:rStyle w:val="Hyperlink"/>
            <w:b w:val="0"/>
            <w:bCs w:val="0"/>
            <w:iCs w:val="0"/>
            <w:noProof/>
            <w:color w:val="auto"/>
          </w:rPr>
          <w:t>Table -: Treatment for ARI symptoms, fever and diarrhoea for children aged 6-59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37</w:t>
        </w:r>
        <w:r w:rsidRPr="00FF0B4E">
          <w:rPr>
            <w:b w:val="0"/>
            <w:bCs w:val="0"/>
            <w:iCs w:val="0"/>
            <w:noProof/>
            <w:webHidden/>
          </w:rPr>
          <w:fldChar w:fldCharType="end"/>
        </w:r>
      </w:hyperlink>
    </w:p>
    <w:p w14:paraId="594402D9"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5" w:history="1">
        <w:r w:rsidRPr="00FF0B4E">
          <w:rPr>
            <w:rStyle w:val="Hyperlink"/>
            <w:b w:val="0"/>
            <w:bCs w:val="0"/>
            <w:iCs w:val="0"/>
            <w:noProof/>
            <w:color w:val="auto"/>
          </w:rPr>
          <w:t>Table -: Prevalence of Infant and Young Child Feeding Practices Indicators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_Toc161945755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38</w:t>
        </w:r>
        <w:r w:rsidRPr="00FF0B4E">
          <w:rPr>
            <w:b w:val="0"/>
            <w:bCs w:val="0"/>
            <w:iCs w:val="0"/>
            <w:noProof/>
            <w:webHidden/>
          </w:rPr>
          <w:fldChar w:fldCharType="end"/>
        </w:r>
      </w:hyperlink>
    </w:p>
    <w:p w14:paraId="212E336C"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6" w:history="1">
        <w:r w:rsidRPr="00FF0B4E">
          <w:rPr>
            <w:rStyle w:val="Hyperlink"/>
            <w:b w:val="0"/>
            <w:bCs w:val="0"/>
            <w:iCs w:val="0"/>
            <w:noProof/>
            <w:color w:val="auto"/>
          </w:rPr>
          <w:t>Table -: Physiological status for women aged 15-49</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39</w:t>
        </w:r>
        <w:r w:rsidRPr="00FF0B4E">
          <w:rPr>
            <w:b w:val="0"/>
            <w:bCs w:val="0"/>
            <w:iCs w:val="0"/>
            <w:noProof/>
            <w:webHidden/>
          </w:rPr>
          <w:fldChar w:fldCharType="end"/>
        </w:r>
      </w:hyperlink>
    </w:p>
    <w:p w14:paraId="047781FE"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7" w:history="1">
        <w:r w:rsidRPr="00FF0B4E">
          <w:rPr>
            <w:rStyle w:val="Hyperlink"/>
            <w:b w:val="0"/>
            <w:bCs w:val="0"/>
            <w:iCs w:val="0"/>
            <w:noProof/>
            <w:color w:val="auto"/>
          </w:rPr>
          <w:t>Table -: Women's Age (all women aged 15-49)</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39</w:t>
        </w:r>
        <w:r w:rsidRPr="00FF0B4E">
          <w:rPr>
            <w:b w:val="0"/>
            <w:bCs w:val="0"/>
            <w:iCs w:val="0"/>
            <w:noProof/>
            <w:webHidden/>
          </w:rPr>
          <w:fldChar w:fldCharType="end"/>
        </w:r>
      </w:hyperlink>
    </w:p>
    <w:p w14:paraId="77C292E2"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8" w:history="1">
        <w:r w:rsidRPr="00FF0B4E">
          <w:rPr>
            <w:rStyle w:val="Hyperlink"/>
            <w:b w:val="0"/>
            <w:bCs w:val="0"/>
            <w:iCs w:val="0"/>
            <w:noProof/>
            <w:color w:val="auto"/>
          </w:rPr>
          <w:t>Table -: Prevalence of MUAC Malnutrition in Non-Pregnant, Non-Lactating Women (Aged 15-49)</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39</w:t>
        </w:r>
        <w:r w:rsidRPr="00FF0B4E">
          <w:rPr>
            <w:b w:val="0"/>
            <w:bCs w:val="0"/>
            <w:iCs w:val="0"/>
            <w:noProof/>
            <w:webHidden/>
          </w:rPr>
          <w:fldChar w:fldCharType="end"/>
        </w:r>
      </w:hyperlink>
    </w:p>
    <w:p w14:paraId="7E89EF58"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59" w:history="1">
        <w:r w:rsidRPr="00FF0B4E">
          <w:rPr>
            <w:rStyle w:val="Hyperlink"/>
            <w:b w:val="0"/>
            <w:bCs w:val="0"/>
            <w:iCs w:val="0"/>
            <w:noProof/>
            <w:color w:val="auto"/>
          </w:rPr>
          <w:t>Table -: Prevalence of MUAC Malnutrition in Pregnant Women and Lactating Women with an Infant Less Than 6 Months</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_Toc161945759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40</w:t>
        </w:r>
        <w:r w:rsidRPr="00FF0B4E">
          <w:rPr>
            <w:b w:val="0"/>
            <w:bCs w:val="0"/>
            <w:iCs w:val="0"/>
            <w:noProof/>
            <w:webHidden/>
          </w:rPr>
          <w:fldChar w:fldCharType="end"/>
        </w:r>
      </w:hyperlink>
    </w:p>
    <w:p w14:paraId="0CAFFDEE"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0" w:history="1">
        <w:r w:rsidRPr="00FF0B4E">
          <w:rPr>
            <w:rStyle w:val="Hyperlink"/>
            <w:b w:val="0"/>
            <w:bCs w:val="0"/>
            <w:iCs w:val="0"/>
            <w:noProof/>
            <w:color w:val="auto"/>
          </w:rPr>
          <w:t>Table -: Prevalence of GAM by WHZ Comparing the 0-59 Month to the 6-59 Month Sample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40</w:t>
        </w:r>
        <w:r w:rsidRPr="00FF0B4E">
          <w:rPr>
            <w:b w:val="0"/>
            <w:bCs w:val="0"/>
            <w:iCs w:val="0"/>
            <w:noProof/>
            <w:webHidden/>
          </w:rPr>
          <w:fldChar w:fldCharType="end"/>
        </w:r>
      </w:hyperlink>
    </w:p>
    <w:p w14:paraId="56AD49C8"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1" w:history="1">
        <w:r w:rsidRPr="00FF0B4E">
          <w:rPr>
            <w:rStyle w:val="Hyperlink"/>
            <w:b w:val="0"/>
            <w:bCs w:val="0"/>
            <w:iCs w:val="0"/>
            <w:noProof/>
            <w:color w:val="auto"/>
          </w:rPr>
          <w:t>Table -: Bias and Technical Error of Measurement (TEM) Results for Weight</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52</w:t>
        </w:r>
        <w:r w:rsidRPr="00FF0B4E">
          <w:rPr>
            <w:b w:val="0"/>
            <w:bCs w:val="0"/>
            <w:iCs w:val="0"/>
            <w:noProof/>
            <w:webHidden/>
          </w:rPr>
          <w:fldChar w:fldCharType="end"/>
        </w:r>
      </w:hyperlink>
    </w:p>
    <w:p w14:paraId="50F471F2"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2" w:history="1">
        <w:r w:rsidRPr="00FF0B4E">
          <w:rPr>
            <w:rStyle w:val="Hyperlink"/>
            <w:b w:val="0"/>
            <w:bCs w:val="0"/>
            <w:iCs w:val="0"/>
            <w:noProof/>
            <w:color w:val="auto"/>
          </w:rPr>
          <w:t>Table -: Bias and Technical Error of Measurement (TEM) Results for Height</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53</w:t>
        </w:r>
        <w:r w:rsidRPr="00FF0B4E">
          <w:rPr>
            <w:b w:val="0"/>
            <w:bCs w:val="0"/>
            <w:iCs w:val="0"/>
            <w:noProof/>
            <w:webHidden/>
          </w:rPr>
          <w:fldChar w:fldCharType="end"/>
        </w:r>
      </w:hyperlink>
    </w:p>
    <w:p w14:paraId="4CC42728"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3" w:history="1">
        <w:r w:rsidRPr="00FF0B4E">
          <w:rPr>
            <w:rStyle w:val="Hyperlink"/>
            <w:b w:val="0"/>
            <w:bCs w:val="0"/>
            <w:iCs w:val="0"/>
            <w:noProof/>
            <w:color w:val="auto"/>
          </w:rPr>
          <w:t>Table -: Bias and Technical Error of Measurement (TEM) Results for MUAC</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54</w:t>
        </w:r>
        <w:r w:rsidRPr="00FF0B4E">
          <w:rPr>
            <w:b w:val="0"/>
            <w:bCs w:val="0"/>
            <w:iCs w:val="0"/>
            <w:noProof/>
            <w:webHidden/>
          </w:rPr>
          <w:fldChar w:fldCharType="end"/>
        </w:r>
      </w:hyperlink>
    </w:p>
    <w:p w14:paraId="1C1F05FF"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4" w:history="1">
        <w:r w:rsidRPr="00FF0B4E">
          <w:rPr>
            <w:rStyle w:val="Hyperlink"/>
            <w:b w:val="0"/>
            <w:bCs w:val="0"/>
            <w:iCs w:val="0"/>
            <w:noProof/>
            <w:color w:val="auto"/>
          </w:rPr>
          <w:t>Table -: Anthropometry Data Quality Snapshot</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_Toc161945764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56</w:t>
        </w:r>
        <w:r w:rsidRPr="00FF0B4E">
          <w:rPr>
            <w:b w:val="0"/>
            <w:bCs w:val="0"/>
            <w:iCs w:val="0"/>
            <w:noProof/>
            <w:webHidden/>
          </w:rPr>
          <w:fldChar w:fldCharType="end"/>
        </w:r>
      </w:hyperlink>
    </w:p>
    <w:p w14:paraId="6D35C0A8" w14:textId="77777777" w:rsidR="00BC28CE" w:rsidRPr="00FF0B4E" w:rsidRDefault="00000000">
      <w:r w:rsidRPr="00FF0B4E">
        <w:fldChar w:fldCharType="end"/>
      </w:r>
    </w:p>
    <w:p w14:paraId="422CCFA3" w14:textId="77777777" w:rsidR="00BC28CE" w:rsidRPr="00FF0B4E" w:rsidRDefault="00000000">
      <w:pPr>
        <w:rPr>
          <w:b/>
          <w:bCs/>
          <w:sz w:val="26"/>
          <w:szCs w:val="28"/>
        </w:rPr>
      </w:pPr>
      <w:r w:rsidRPr="00FF0B4E">
        <w:rPr>
          <w:b/>
          <w:bCs/>
          <w:sz w:val="26"/>
          <w:szCs w:val="28"/>
        </w:rPr>
        <w:t>List of figures</w:t>
      </w:r>
    </w:p>
    <w:p w14:paraId="4C267B8D" w14:textId="77777777" w:rsidR="00822E50" w:rsidRPr="00FF0B4E" w:rsidRDefault="0000000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r w:rsidRPr="00FF0B4E">
        <w:rPr>
          <w:b w:val="0"/>
          <w:bCs w:val="0"/>
          <w:iCs w:val="0"/>
        </w:rPr>
        <w:fldChar w:fldCharType="begin"/>
      </w:r>
      <w:r w:rsidRPr="00FF0B4E">
        <w:rPr>
          <w:b w:val="0"/>
          <w:bCs w:val="0"/>
          <w:iCs w:val="0"/>
        </w:rPr>
        <w:instrText>TOC \h \z \t "Image Caption,1"</w:instrText>
      </w:r>
      <w:r w:rsidR="00822E50" w:rsidRPr="00FF0B4E">
        <w:rPr>
          <w:b w:val="0"/>
          <w:bCs w:val="0"/>
          <w:iCs w:val="0"/>
        </w:rPr>
        <w:fldChar w:fldCharType="separate"/>
      </w:r>
      <w:hyperlink w:anchor="_Toc161945765" w:history="1">
        <w:r w:rsidR="00822E50" w:rsidRPr="00FF0B4E">
          <w:rPr>
            <w:rStyle w:val="Hyperlink"/>
            <w:b w:val="0"/>
            <w:bCs w:val="0"/>
            <w:iCs w:val="0"/>
            <w:noProof/>
            <w:color w:val="auto"/>
          </w:rPr>
          <w:t>Figure -: Distribution of WHZ Sample Compared to the WHO 2006 WHZ Reference Curve</w:t>
        </w:r>
        <w:r w:rsidR="00822E50" w:rsidRPr="00FF0B4E">
          <w:rPr>
            <w:b w:val="0"/>
            <w:bCs w:val="0"/>
            <w:iCs w:val="0"/>
            <w:noProof/>
            <w:webHidden/>
          </w:rPr>
          <w:tab/>
        </w:r>
        <w:r w:rsidR="00822E50" w:rsidRPr="00FF0B4E">
          <w:rPr>
            <w:b w:val="0"/>
            <w:bCs w:val="0"/>
            <w:iCs w:val="0"/>
            <w:noProof/>
            <w:webHidden/>
          </w:rPr>
          <w:fldChar w:fldCharType="begin"/>
        </w:r>
        <w:r w:rsidR="00822E50" w:rsidRPr="00FF0B4E">
          <w:rPr>
            <w:b w:val="0"/>
            <w:bCs w:val="0"/>
            <w:iCs w:val="0"/>
            <w:noProof/>
            <w:webHidden/>
          </w:rPr>
          <w:instrText xml:space="preserve"> PAGEREF _Toc161945765 \h </w:instrText>
        </w:r>
        <w:r w:rsidR="00822E50" w:rsidRPr="00FF0B4E">
          <w:rPr>
            <w:b w:val="0"/>
            <w:bCs w:val="0"/>
            <w:iCs w:val="0"/>
            <w:noProof/>
            <w:webHidden/>
          </w:rPr>
        </w:r>
        <w:r w:rsidR="00822E50" w:rsidRPr="00FF0B4E">
          <w:rPr>
            <w:b w:val="0"/>
            <w:bCs w:val="0"/>
            <w:iCs w:val="0"/>
            <w:noProof/>
            <w:webHidden/>
          </w:rPr>
          <w:fldChar w:fldCharType="separate"/>
        </w:r>
        <w:r w:rsidR="00822E50" w:rsidRPr="00FF0B4E">
          <w:rPr>
            <w:b w:val="0"/>
            <w:bCs w:val="0"/>
            <w:iCs w:val="0"/>
            <w:noProof/>
            <w:webHidden/>
          </w:rPr>
          <w:t>21</w:t>
        </w:r>
        <w:r w:rsidR="00822E50" w:rsidRPr="00FF0B4E">
          <w:rPr>
            <w:b w:val="0"/>
            <w:bCs w:val="0"/>
            <w:iCs w:val="0"/>
            <w:noProof/>
            <w:webHidden/>
          </w:rPr>
          <w:fldChar w:fldCharType="end"/>
        </w:r>
      </w:hyperlink>
    </w:p>
    <w:p w14:paraId="7B5EBA2B"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6" w:history="1">
        <w:r w:rsidRPr="00FF0B4E">
          <w:rPr>
            <w:rStyle w:val="Hyperlink"/>
            <w:b w:val="0"/>
            <w:bCs w:val="0"/>
            <w:iCs w:val="0"/>
            <w:noProof/>
            <w:color w:val="auto"/>
          </w:rPr>
          <w:t>Figure -: Mean WHZ by Age Group</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_Toc161945766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22</w:t>
        </w:r>
        <w:r w:rsidRPr="00FF0B4E">
          <w:rPr>
            <w:b w:val="0"/>
            <w:bCs w:val="0"/>
            <w:iCs w:val="0"/>
            <w:noProof/>
            <w:webHidden/>
          </w:rPr>
          <w:fldChar w:fldCharType="end"/>
        </w:r>
      </w:hyperlink>
    </w:p>
    <w:p w14:paraId="7C18FDAD"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7" w:history="1">
        <w:r w:rsidRPr="00FF0B4E">
          <w:rPr>
            <w:rStyle w:val="Hyperlink"/>
            <w:b w:val="0"/>
            <w:bCs w:val="0"/>
            <w:iCs w:val="0"/>
            <w:noProof/>
            <w:color w:val="auto"/>
          </w:rPr>
          <w:t>Figure -: Pie Chart of Proportion of Children with GAM by Indicator</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_Toc161945767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24</w:t>
        </w:r>
        <w:r w:rsidRPr="00FF0B4E">
          <w:rPr>
            <w:b w:val="0"/>
            <w:bCs w:val="0"/>
            <w:iCs w:val="0"/>
            <w:noProof/>
            <w:webHidden/>
          </w:rPr>
          <w:fldChar w:fldCharType="end"/>
        </w:r>
      </w:hyperlink>
    </w:p>
    <w:p w14:paraId="65C8D200"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8" w:history="1">
        <w:r w:rsidRPr="00FF0B4E">
          <w:rPr>
            <w:rStyle w:val="Hyperlink"/>
            <w:b w:val="0"/>
            <w:bCs w:val="0"/>
            <w:iCs w:val="0"/>
            <w:noProof/>
            <w:color w:val="auto"/>
          </w:rPr>
          <w:t>Figure -: Pie Chart of Proportion of Children with SAM by Indicator</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_Toc161945768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25</w:t>
        </w:r>
        <w:r w:rsidRPr="00FF0B4E">
          <w:rPr>
            <w:b w:val="0"/>
            <w:bCs w:val="0"/>
            <w:iCs w:val="0"/>
            <w:noProof/>
            <w:webHidden/>
          </w:rPr>
          <w:fldChar w:fldCharType="end"/>
        </w:r>
      </w:hyperlink>
    </w:p>
    <w:p w14:paraId="642D4973"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69" w:history="1">
        <w:r w:rsidRPr="00FF0B4E">
          <w:rPr>
            <w:rStyle w:val="Hyperlink"/>
            <w:b w:val="0"/>
            <w:bCs w:val="0"/>
            <w:iCs w:val="0"/>
            <w:noProof/>
            <w:color w:val="auto"/>
          </w:rPr>
          <w:t>Figure -: Distribution of HAZ Sample Compared to the WHO 2006 WHZ Reference Curve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_Toc161945769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26</w:t>
        </w:r>
        <w:r w:rsidRPr="00FF0B4E">
          <w:rPr>
            <w:b w:val="0"/>
            <w:bCs w:val="0"/>
            <w:iCs w:val="0"/>
            <w:noProof/>
            <w:webHidden/>
          </w:rPr>
          <w:fldChar w:fldCharType="end"/>
        </w:r>
      </w:hyperlink>
    </w:p>
    <w:p w14:paraId="3867BFDB"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70" w:history="1">
        <w:r w:rsidRPr="00FF0B4E">
          <w:rPr>
            <w:rStyle w:val="Hyperlink"/>
            <w:b w:val="0"/>
            <w:bCs w:val="0"/>
            <w:iCs w:val="0"/>
            <w:noProof/>
            <w:color w:val="auto"/>
          </w:rPr>
          <w:t>Figure -: Mean HAZ by Age Group</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_Toc161945770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27</w:t>
        </w:r>
        <w:r w:rsidRPr="00FF0B4E">
          <w:rPr>
            <w:b w:val="0"/>
            <w:bCs w:val="0"/>
            <w:iCs w:val="0"/>
            <w:noProof/>
            <w:webHidden/>
          </w:rPr>
          <w:fldChar w:fldCharType="end"/>
        </w:r>
      </w:hyperlink>
    </w:p>
    <w:p w14:paraId="7F3810CB"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71" w:history="1">
        <w:r w:rsidRPr="00FF0B4E">
          <w:rPr>
            <w:rStyle w:val="Hyperlink"/>
            <w:b w:val="0"/>
            <w:bCs w:val="0"/>
            <w:iCs w:val="0"/>
            <w:noProof/>
            <w:color w:val="auto"/>
          </w:rPr>
          <w:t>Figure -: Distribution of WAZ Sample Compared to the WHO 2006 WHZ Reference Curve</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_Toc161945771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28</w:t>
        </w:r>
        <w:r w:rsidRPr="00FF0B4E">
          <w:rPr>
            <w:b w:val="0"/>
            <w:bCs w:val="0"/>
            <w:iCs w:val="0"/>
            <w:noProof/>
            <w:webHidden/>
          </w:rPr>
          <w:fldChar w:fldCharType="end"/>
        </w:r>
      </w:hyperlink>
    </w:p>
    <w:p w14:paraId="24E92C97"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72" w:history="1">
        <w:r w:rsidRPr="00FF0B4E">
          <w:rPr>
            <w:rStyle w:val="Hyperlink"/>
            <w:b w:val="0"/>
            <w:bCs w:val="0"/>
            <w:iCs w:val="0"/>
            <w:noProof/>
            <w:color w:val="auto"/>
          </w:rPr>
          <w:t>Figure -: Mean WAZ by Age Group</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_Toc161945772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29</w:t>
        </w:r>
        <w:r w:rsidRPr="00FF0B4E">
          <w:rPr>
            <w:b w:val="0"/>
            <w:bCs w:val="0"/>
            <w:iCs w:val="0"/>
            <w:noProof/>
            <w:webHidden/>
          </w:rPr>
          <w:fldChar w:fldCharType="end"/>
        </w:r>
      </w:hyperlink>
    </w:p>
    <w:p w14:paraId="2060659D" w14:textId="77777777" w:rsidR="00822E50" w:rsidRPr="00FF0B4E" w:rsidRDefault="00822E50">
      <w:pPr>
        <w:pStyle w:val="TOC1"/>
        <w:tabs>
          <w:tab w:val="right" w:leader="dot" w:pos="9350"/>
        </w:tabs>
        <w:rPr>
          <w:rFonts w:eastAsiaTheme="minorEastAsia" w:cstheme="minorBidi"/>
          <w:b w:val="0"/>
          <w:bCs w:val="0"/>
          <w:iCs w:val="0"/>
          <w:noProof/>
          <w:kern w:val="2"/>
          <w:sz w:val="22"/>
          <w:szCs w:val="22"/>
          <w:lang w:val="en-KE" w:eastAsia="en-KE"/>
          <w14:ligatures w14:val="standardContextual"/>
        </w:rPr>
      </w:pPr>
      <w:hyperlink w:anchor="_Toc161945773" w:history="1">
        <w:r w:rsidRPr="00FF0B4E">
          <w:rPr>
            <w:rStyle w:val="Hyperlink"/>
            <w:b w:val="0"/>
            <w:bCs w:val="0"/>
            <w:iCs w:val="0"/>
            <w:noProof/>
            <w:color w:val="auto"/>
          </w:rPr>
          <w:t>Figure -: Survey Area</w:t>
        </w:r>
        <w:r w:rsidRPr="00FF0B4E">
          <w:rPr>
            <w:b w:val="0"/>
            <w:bCs w:val="0"/>
            <w:iCs w:val="0"/>
            <w:noProof/>
            <w:webHidden/>
          </w:rPr>
          <w:tab/>
        </w:r>
        <w:r w:rsidRPr="00FF0B4E">
          <w:rPr>
            <w:b w:val="0"/>
            <w:bCs w:val="0"/>
            <w:iCs w:val="0"/>
            <w:noProof/>
            <w:webHidden/>
          </w:rPr>
          <w:fldChar w:fldCharType="begin"/>
        </w:r>
        <w:r w:rsidRPr="00FF0B4E">
          <w:rPr>
            <w:b w:val="0"/>
            <w:bCs w:val="0"/>
            <w:iCs w:val="0"/>
            <w:noProof/>
            <w:webHidden/>
          </w:rPr>
          <w:instrText xml:space="preserve"> PAGEREF _Toc161945773 \h </w:instrText>
        </w:r>
        <w:r w:rsidRPr="00FF0B4E">
          <w:rPr>
            <w:b w:val="0"/>
            <w:bCs w:val="0"/>
            <w:iCs w:val="0"/>
            <w:noProof/>
            <w:webHidden/>
          </w:rPr>
        </w:r>
        <w:r w:rsidRPr="00FF0B4E">
          <w:rPr>
            <w:b w:val="0"/>
            <w:bCs w:val="0"/>
            <w:iCs w:val="0"/>
            <w:noProof/>
            <w:webHidden/>
          </w:rPr>
          <w:fldChar w:fldCharType="separate"/>
        </w:r>
        <w:r w:rsidRPr="00FF0B4E">
          <w:rPr>
            <w:b w:val="0"/>
            <w:bCs w:val="0"/>
            <w:iCs w:val="0"/>
            <w:noProof/>
            <w:webHidden/>
          </w:rPr>
          <w:t>57</w:t>
        </w:r>
        <w:r w:rsidRPr="00FF0B4E">
          <w:rPr>
            <w:b w:val="0"/>
            <w:bCs w:val="0"/>
            <w:iCs w:val="0"/>
            <w:noProof/>
            <w:webHidden/>
          </w:rPr>
          <w:fldChar w:fldCharType="end"/>
        </w:r>
      </w:hyperlink>
    </w:p>
    <w:p w14:paraId="2D26F9D3" w14:textId="77777777" w:rsidR="00BC28CE" w:rsidRPr="00FF0B4E" w:rsidRDefault="00000000">
      <w:r w:rsidRPr="00FF0B4E">
        <w:fldChar w:fldCharType="end"/>
      </w:r>
    </w:p>
    <w:p w14:paraId="4B4AD98F" w14:textId="77777777" w:rsidR="00BC28CE" w:rsidRPr="00FF0B4E" w:rsidRDefault="00000000">
      <w:r w:rsidRPr="00FF0B4E">
        <w:br w:type="page"/>
      </w:r>
    </w:p>
    <w:p w14:paraId="11892ED9" w14:textId="77777777" w:rsidR="00BC28CE" w:rsidRDefault="00000000">
      <w:pPr>
        <w:pStyle w:val="Heading1"/>
      </w:pPr>
      <w:bookmarkStart w:id="2" w:name="acronyms"/>
      <w:bookmarkStart w:id="3" w:name="_Toc161945669"/>
      <w:bookmarkEnd w:id="0"/>
      <w:r>
        <w:lastRenderedPageBreak/>
        <w:t>Acronyms</w:t>
      </w:r>
      <w:bookmarkEnd w:id="3"/>
    </w:p>
    <w:tbl>
      <w:tblPr>
        <w:tblW w:w="6600" w:type="dxa"/>
        <w:tblLook w:val="04A0" w:firstRow="1" w:lastRow="0" w:firstColumn="1" w:lastColumn="0" w:noHBand="0" w:noVBand="1"/>
      </w:tblPr>
      <w:tblGrid>
        <w:gridCol w:w="1520"/>
        <w:gridCol w:w="5080"/>
      </w:tblGrid>
      <w:tr w:rsidR="00420FAC" w:rsidRPr="00661D75" w14:paraId="4CCD095A" w14:textId="77777777" w:rsidTr="004A17D0">
        <w:trPr>
          <w:trHeight w:val="330"/>
        </w:trPr>
        <w:tc>
          <w:tcPr>
            <w:tcW w:w="1520" w:type="dxa"/>
            <w:tcBorders>
              <w:top w:val="nil"/>
              <w:left w:val="nil"/>
              <w:bottom w:val="nil"/>
              <w:right w:val="nil"/>
            </w:tcBorders>
            <w:shd w:val="clear" w:color="auto" w:fill="auto"/>
            <w:noWrap/>
            <w:vAlign w:val="bottom"/>
            <w:hideMark/>
          </w:tcPr>
          <w:p w14:paraId="4A16BDF4" w14:textId="77777777" w:rsidR="004A17D0" w:rsidRPr="00661D75" w:rsidRDefault="004A17D0" w:rsidP="00420FAC">
            <w:pPr>
              <w:rPr>
                <w:iCs/>
                <w:lang w:val="en-KE" w:eastAsia="en-KE"/>
              </w:rPr>
            </w:pPr>
            <w:r w:rsidRPr="00661D75">
              <w:rPr>
                <w:iCs/>
                <w:lang w:eastAsia="en-KE"/>
              </w:rPr>
              <w:t>AAH</w:t>
            </w:r>
          </w:p>
        </w:tc>
        <w:tc>
          <w:tcPr>
            <w:tcW w:w="5080" w:type="dxa"/>
            <w:tcBorders>
              <w:top w:val="nil"/>
              <w:left w:val="nil"/>
              <w:bottom w:val="nil"/>
              <w:right w:val="nil"/>
            </w:tcBorders>
            <w:shd w:val="clear" w:color="auto" w:fill="auto"/>
            <w:noWrap/>
            <w:vAlign w:val="bottom"/>
            <w:hideMark/>
          </w:tcPr>
          <w:p w14:paraId="658224DC" w14:textId="77777777" w:rsidR="004A17D0" w:rsidRPr="00661D75" w:rsidRDefault="004A17D0" w:rsidP="00420FAC">
            <w:pPr>
              <w:rPr>
                <w:iCs/>
                <w:lang w:val="en-KE" w:eastAsia="en-KE"/>
              </w:rPr>
            </w:pPr>
            <w:r w:rsidRPr="00661D75">
              <w:rPr>
                <w:iCs/>
                <w:lang w:eastAsia="en-KE"/>
              </w:rPr>
              <w:t>Action Against Hunger</w:t>
            </w:r>
          </w:p>
        </w:tc>
      </w:tr>
      <w:tr w:rsidR="00420FAC" w:rsidRPr="00661D75" w14:paraId="0BFFE0BA" w14:textId="77777777" w:rsidTr="004A17D0">
        <w:trPr>
          <w:trHeight w:val="330"/>
        </w:trPr>
        <w:tc>
          <w:tcPr>
            <w:tcW w:w="1520" w:type="dxa"/>
            <w:tcBorders>
              <w:top w:val="nil"/>
              <w:left w:val="nil"/>
              <w:bottom w:val="nil"/>
              <w:right w:val="nil"/>
            </w:tcBorders>
            <w:shd w:val="clear" w:color="auto" w:fill="auto"/>
            <w:vAlign w:val="center"/>
            <w:hideMark/>
          </w:tcPr>
          <w:p w14:paraId="70EC9E14" w14:textId="77777777" w:rsidR="004A17D0" w:rsidRPr="00661D75" w:rsidRDefault="004A17D0" w:rsidP="00420FAC">
            <w:pPr>
              <w:rPr>
                <w:iCs/>
                <w:lang w:val="en-KE" w:eastAsia="en-KE"/>
              </w:rPr>
            </w:pPr>
            <w:r w:rsidRPr="00661D75">
              <w:rPr>
                <w:iCs/>
                <w:lang w:val="en-US" w:eastAsia="en-KE"/>
              </w:rPr>
              <w:t>ANC</w:t>
            </w:r>
          </w:p>
        </w:tc>
        <w:tc>
          <w:tcPr>
            <w:tcW w:w="5080" w:type="dxa"/>
            <w:tcBorders>
              <w:top w:val="nil"/>
              <w:left w:val="nil"/>
              <w:bottom w:val="nil"/>
              <w:right w:val="nil"/>
            </w:tcBorders>
            <w:shd w:val="clear" w:color="auto" w:fill="auto"/>
            <w:vAlign w:val="center"/>
            <w:hideMark/>
          </w:tcPr>
          <w:p w14:paraId="4079640B" w14:textId="77777777" w:rsidR="004A17D0" w:rsidRPr="00661D75" w:rsidRDefault="004A17D0" w:rsidP="00420FAC">
            <w:pPr>
              <w:rPr>
                <w:iCs/>
                <w:lang w:val="en-KE" w:eastAsia="en-KE"/>
              </w:rPr>
            </w:pPr>
            <w:r w:rsidRPr="00661D75">
              <w:rPr>
                <w:iCs/>
                <w:lang w:val="en-US" w:eastAsia="en-KE"/>
              </w:rPr>
              <w:t>Ante Natal Care</w:t>
            </w:r>
          </w:p>
        </w:tc>
      </w:tr>
      <w:tr w:rsidR="00420FAC" w:rsidRPr="00661D75" w14:paraId="485371BB" w14:textId="77777777" w:rsidTr="004A17D0">
        <w:trPr>
          <w:trHeight w:val="330"/>
        </w:trPr>
        <w:tc>
          <w:tcPr>
            <w:tcW w:w="1520" w:type="dxa"/>
            <w:tcBorders>
              <w:top w:val="nil"/>
              <w:left w:val="nil"/>
              <w:bottom w:val="nil"/>
              <w:right w:val="nil"/>
            </w:tcBorders>
            <w:shd w:val="clear" w:color="auto" w:fill="auto"/>
            <w:vAlign w:val="center"/>
            <w:hideMark/>
          </w:tcPr>
          <w:p w14:paraId="725CF42B" w14:textId="77777777" w:rsidR="004A17D0" w:rsidRPr="00661D75" w:rsidRDefault="004A17D0" w:rsidP="00420FAC">
            <w:pPr>
              <w:rPr>
                <w:iCs/>
                <w:lang w:val="en-KE" w:eastAsia="en-KE"/>
              </w:rPr>
            </w:pPr>
            <w:r w:rsidRPr="00661D75">
              <w:rPr>
                <w:iCs/>
                <w:lang w:val="en-US" w:eastAsia="en-KE"/>
              </w:rPr>
              <w:t>ARI</w:t>
            </w:r>
          </w:p>
        </w:tc>
        <w:tc>
          <w:tcPr>
            <w:tcW w:w="5080" w:type="dxa"/>
            <w:tcBorders>
              <w:top w:val="nil"/>
              <w:left w:val="nil"/>
              <w:bottom w:val="nil"/>
              <w:right w:val="nil"/>
            </w:tcBorders>
            <w:shd w:val="clear" w:color="auto" w:fill="auto"/>
            <w:vAlign w:val="center"/>
            <w:hideMark/>
          </w:tcPr>
          <w:p w14:paraId="73100317" w14:textId="77777777" w:rsidR="004A17D0" w:rsidRPr="00661D75" w:rsidRDefault="004A17D0" w:rsidP="00420FAC">
            <w:pPr>
              <w:rPr>
                <w:iCs/>
                <w:lang w:val="en-KE" w:eastAsia="en-KE"/>
              </w:rPr>
            </w:pPr>
            <w:r w:rsidRPr="00661D75">
              <w:rPr>
                <w:iCs/>
                <w:lang w:val="en-US" w:eastAsia="en-KE"/>
              </w:rPr>
              <w:t>Acute Respiratory Infections</w:t>
            </w:r>
          </w:p>
        </w:tc>
      </w:tr>
      <w:tr w:rsidR="00420FAC" w:rsidRPr="00661D75" w14:paraId="6D9E6CCD" w14:textId="77777777" w:rsidTr="004A17D0">
        <w:trPr>
          <w:trHeight w:val="330"/>
        </w:trPr>
        <w:tc>
          <w:tcPr>
            <w:tcW w:w="1520" w:type="dxa"/>
            <w:tcBorders>
              <w:top w:val="nil"/>
              <w:left w:val="nil"/>
              <w:bottom w:val="nil"/>
              <w:right w:val="nil"/>
            </w:tcBorders>
            <w:shd w:val="clear" w:color="auto" w:fill="auto"/>
            <w:vAlign w:val="center"/>
            <w:hideMark/>
          </w:tcPr>
          <w:p w14:paraId="443EEDD2" w14:textId="77777777" w:rsidR="004A17D0" w:rsidRPr="00661D75" w:rsidRDefault="004A17D0" w:rsidP="00420FAC">
            <w:pPr>
              <w:rPr>
                <w:iCs/>
                <w:lang w:val="en-KE" w:eastAsia="en-KE"/>
              </w:rPr>
            </w:pPr>
            <w:r w:rsidRPr="00661D75">
              <w:rPr>
                <w:iCs/>
                <w:lang w:val="en-US" w:eastAsia="en-KE"/>
              </w:rPr>
              <w:t>ASAL</w:t>
            </w:r>
          </w:p>
        </w:tc>
        <w:tc>
          <w:tcPr>
            <w:tcW w:w="5080" w:type="dxa"/>
            <w:tcBorders>
              <w:top w:val="nil"/>
              <w:left w:val="nil"/>
              <w:bottom w:val="nil"/>
              <w:right w:val="nil"/>
            </w:tcBorders>
            <w:shd w:val="clear" w:color="auto" w:fill="auto"/>
            <w:vAlign w:val="center"/>
            <w:hideMark/>
          </w:tcPr>
          <w:p w14:paraId="3D3677CB" w14:textId="77777777" w:rsidR="004A17D0" w:rsidRPr="00661D75" w:rsidRDefault="004A17D0" w:rsidP="00420FAC">
            <w:pPr>
              <w:rPr>
                <w:iCs/>
                <w:lang w:val="en-KE" w:eastAsia="en-KE"/>
              </w:rPr>
            </w:pPr>
            <w:r w:rsidRPr="00661D75">
              <w:rPr>
                <w:iCs/>
                <w:lang w:val="en-US" w:eastAsia="en-KE"/>
              </w:rPr>
              <w:t>Arid and Semi-Arid Lands</w:t>
            </w:r>
          </w:p>
        </w:tc>
      </w:tr>
      <w:tr w:rsidR="00420FAC" w:rsidRPr="00661D75" w14:paraId="6BAFF8D0" w14:textId="77777777" w:rsidTr="004A17D0">
        <w:trPr>
          <w:trHeight w:val="330"/>
        </w:trPr>
        <w:tc>
          <w:tcPr>
            <w:tcW w:w="1520" w:type="dxa"/>
            <w:tcBorders>
              <w:top w:val="nil"/>
              <w:left w:val="nil"/>
              <w:bottom w:val="nil"/>
              <w:right w:val="nil"/>
            </w:tcBorders>
            <w:shd w:val="clear" w:color="auto" w:fill="auto"/>
            <w:vAlign w:val="center"/>
            <w:hideMark/>
          </w:tcPr>
          <w:p w14:paraId="71C0EE4E" w14:textId="77777777" w:rsidR="004A17D0" w:rsidRPr="00661D75" w:rsidRDefault="004A17D0" w:rsidP="00420FAC">
            <w:pPr>
              <w:rPr>
                <w:iCs/>
                <w:lang w:val="en-KE" w:eastAsia="en-KE"/>
              </w:rPr>
            </w:pPr>
            <w:r w:rsidRPr="00661D75">
              <w:rPr>
                <w:iCs/>
                <w:lang w:val="en-US" w:eastAsia="en-KE"/>
              </w:rPr>
              <w:t>BFCI</w:t>
            </w:r>
          </w:p>
        </w:tc>
        <w:tc>
          <w:tcPr>
            <w:tcW w:w="5080" w:type="dxa"/>
            <w:tcBorders>
              <w:top w:val="nil"/>
              <w:left w:val="nil"/>
              <w:bottom w:val="nil"/>
              <w:right w:val="nil"/>
            </w:tcBorders>
            <w:shd w:val="clear" w:color="auto" w:fill="auto"/>
            <w:vAlign w:val="center"/>
            <w:hideMark/>
          </w:tcPr>
          <w:p w14:paraId="11830DAA" w14:textId="77777777" w:rsidR="004A17D0" w:rsidRPr="00661D75" w:rsidRDefault="004A17D0" w:rsidP="00420FAC">
            <w:pPr>
              <w:rPr>
                <w:iCs/>
                <w:lang w:val="en-KE" w:eastAsia="en-KE"/>
              </w:rPr>
            </w:pPr>
            <w:r w:rsidRPr="00661D75">
              <w:rPr>
                <w:iCs/>
                <w:lang w:val="en-US" w:eastAsia="en-KE"/>
              </w:rPr>
              <w:t>Baby Friendly Community Initiative</w:t>
            </w:r>
          </w:p>
        </w:tc>
      </w:tr>
      <w:tr w:rsidR="00420FAC" w:rsidRPr="00661D75" w14:paraId="21E30CCD" w14:textId="77777777" w:rsidTr="004A17D0">
        <w:trPr>
          <w:trHeight w:val="330"/>
        </w:trPr>
        <w:tc>
          <w:tcPr>
            <w:tcW w:w="1520" w:type="dxa"/>
            <w:tcBorders>
              <w:top w:val="nil"/>
              <w:left w:val="nil"/>
              <w:bottom w:val="nil"/>
              <w:right w:val="nil"/>
            </w:tcBorders>
            <w:shd w:val="clear" w:color="auto" w:fill="auto"/>
            <w:vAlign w:val="center"/>
            <w:hideMark/>
          </w:tcPr>
          <w:p w14:paraId="58E93D65" w14:textId="77777777" w:rsidR="004A17D0" w:rsidRPr="00661D75" w:rsidRDefault="004A17D0" w:rsidP="00420FAC">
            <w:pPr>
              <w:rPr>
                <w:iCs/>
                <w:lang w:val="en-KE" w:eastAsia="en-KE"/>
              </w:rPr>
            </w:pPr>
            <w:r w:rsidRPr="00661D75">
              <w:rPr>
                <w:iCs/>
                <w:lang w:eastAsia="en-KE"/>
              </w:rPr>
              <w:t>BHA</w:t>
            </w:r>
          </w:p>
        </w:tc>
        <w:tc>
          <w:tcPr>
            <w:tcW w:w="5080" w:type="dxa"/>
            <w:tcBorders>
              <w:top w:val="nil"/>
              <w:left w:val="nil"/>
              <w:bottom w:val="nil"/>
              <w:right w:val="nil"/>
            </w:tcBorders>
            <w:shd w:val="clear" w:color="auto" w:fill="auto"/>
            <w:vAlign w:val="center"/>
            <w:hideMark/>
          </w:tcPr>
          <w:p w14:paraId="06E53305" w14:textId="77777777" w:rsidR="004A17D0" w:rsidRPr="00661D75" w:rsidRDefault="004A17D0" w:rsidP="00420FAC">
            <w:pPr>
              <w:rPr>
                <w:iCs/>
                <w:lang w:val="en-KE" w:eastAsia="en-KE"/>
              </w:rPr>
            </w:pPr>
            <w:r w:rsidRPr="00661D75">
              <w:rPr>
                <w:iCs/>
                <w:lang w:eastAsia="en-KE"/>
              </w:rPr>
              <w:t>Bureau of Humanitarian Assistance</w:t>
            </w:r>
          </w:p>
        </w:tc>
      </w:tr>
      <w:tr w:rsidR="00420FAC" w:rsidRPr="00661D75" w14:paraId="51991926" w14:textId="77777777" w:rsidTr="004A17D0">
        <w:trPr>
          <w:trHeight w:val="330"/>
        </w:trPr>
        <w:tc>
          <w:tcPr>
            <w:tcW w:w="1520" w:type="dxa"/>
            <w:tcBorders>
              <w:top w:val="nil"/>
              <w:left w:val="nil"/>
              <w:bottom w:val="nil"/>
              <w:right w:val="nil"/>
            </w:tcBorders>
            <w:shd w:val="clear" w:color="auto" w:fill="auto"/>
            <w:vAlign w:val="center"/>
            <w:hideMark/>
          </w:tcPr>
          <w:p w14:paraId="1E6EE0FA" w14:textId="77777777" w:rsidR="004A17D0" w:rsidRPr="00661D75" w:rsidRDefault="004A17D0" w:rsidP="00420FAC">
            <w:pPr>
              <w:rPr>
                <w:iCs/>
                <w:lang w:val="en-KE" w:eastAsia="en-KE"/>
              </w:rPr>
            </w:pPr>
            <w:r w:rsidRPr="00661D75">
              <w:rPr>
                <w:iCs/>
                <w:lang w:val="en-US" w:eastAsia="en-KE"/>
              </w:rPr>
              <w:t>CDH</w:t>
            </w:r>
          </w:p>
        </w:tc>
        <w:tc>
          <w:tcPr>
            <w:tcW w:w="5080" w:type="dxa"/>
            <w:tcBorders>
              <w:top w:val="nil"/>
              <w:left w:val="nil"/>
              <w:bottom w:val="nil"/>
              <w:right w:val="nil"/>
            </w:tcBorders>
            <w:shd w:val="clear" w:color="auto" w:fill="auto"/>
            <w:vAlign w:val="center"/>
            <w:hideMark/>
          </w:tcPr>
          <w:p w14:paraId="1EB99BC2" w14:textId="77777777" w:rsidR="004A17D0" w:rsidRPr="00661D75" w:rsidRDefault="004A17D0" w:rsidP="00420FAC">
            <w:pPr>
              <w:rPr>
                <w:iCs/>
                <w:lang w:val="en-KE" w:eastAsia="en-KE"/>
              </w:rPr>
            </w:pPr>
            <w:r w:rsidRPr="00661D75">
              <w:rPr>
                <w:iCs/>
                <w:lang w:val="en-US" w:eastAsia="en-KE"/>
              </w:rPr>
              <w:t>County Director of Health</w:t>
            </w:r>
          </w:p>
        </w:tc>
      </w:tr>
      <w:tr w:rsidR="00420FAC" w:rsidRPr="00661D75" w14:paraId="7456CFCB" w14:textId="77777777" w:rsidTr="004A17D0">
        <w:trPr>
          <w:trHeight w:val="330"/>
        </w:trPr>
        <w:tc>
          <w:tcPr>
            <w:tcW w:w="1520" w:type="dxa"/>
            <w:tcBorders>
              <w:top w:val="nil"/>
              <w:left w:val="nil"/>
              <w:bottom w:val="nil"/>
              <w:right w:val="nil"/>
            </w:tcBorders>
            <w:shd w:val="clear" w:color="auto" w:fill="auto"/>
            <w:vAlign w:val="center"/>
            <w:hideMark/>
          </w:tcPr>
          <w:p w14:paraId="79669F11" w14:textId="77777777" w:rsidR="004A17D0" w:rsidRPr="00661D75" w:rsidRDefault="004A17D0" w:rsidP="00420FAC">
            <w:pPr>
              <w:rPr>
                <w:iCs/>
                <w:lang w:val="en-KE" w:eastAsia="en-KE"/>
              </w:rPr>
            </w:pPr>
            <w:r w:rsidRPr="00661D75">
              <w:rPr>
                <w:iCs/>
                <w:lang w:val="en-US" w:eastAsia="en-KE"/>
              </w:rPr>
              <w:t>CECM</w:t>
            </w:r>
          </w:p>
        </w:tc>
        <w:tc>
          <w:tcPr>
            <w:tcW w:w="5080" w:type="dxa"/>
            <w:tcBorders>
              <w:top w:val="nil"/>
              <w:left w:val="nil"/>
              <w:bottom w:val="nil"/>
              <w:right w:val="nil"/>
            </w:tcBorders>
            <w:shd w:val="clear" w:color="auto" w:fill="auto"/>
            <w:vAlign w:val="center"/>
            <w:hideMark/>
          </w:tcPr>
          <w:p w14:paraId="70F14E54" w14:textId="77777777" w:rsidR="004A17D0" w:rsidRPr="00661D75" w:rsidRDefault="004A17D0" w:rsidP="00420FAC">
            <w:pPr>
              <w:rPr>
                <w:iCs/>
                <w:lang w:val="en-KE" w:eastAsia="en-KE"/>
              </w:rPr>
            </w:pPr>
            <w:r w:rsidRPr="00661D75">
              <w:rPr>
                <w:iCs/>
                <w:lang w:val="en-US" w:eastAsia="en-KE"/>
              </w:rPr>
              <w:t>County Executive Committee Member</w:t>
            </w:r>
          </w:p>
        </w:tc>
      </w:tr>
      <w:tr w:rsidR="00420FAC" w:rsidRPr="00661D75" w14:paraId="35AFF6B0" w14:textId="77777777" w:rsidTr="004A17D0">
        <w:trPr>
          <w:trHeight w:val="330"/>
        </w:trPr>
        <w:tc>
          <w:tcPr>
            <w:tcW w:w="1520" w:type="dxa"/>
            <w:tcBorders>
              <w:top w:val="nil"/>
              <w:left w:val="nil"/>
              <w:bottom w:val="nil"/>
              <w:right w:val="nil"/>
            </w:tcBorders>
            <w:shd w:val="clear" w:color="auto" w:fill="auto"/>
            <w:vAlign w:val="center"/>
            <w:hideMark/>
          </w:tcPr>
          <w:p w14:paraId="416E9283" w14:textId="77777777" w:rsidR="004A17D0" w:rsidRPr="00661D75" w:rsidRDefault="004A17D0" w:rsidP="00420FAC">
            <w:pPr>
              <w:rPr>
                <w:iCs/>
                <w:lang w:val="en-KE" w:eastAsia="en-KE"/>
              </w:rPr>
            </w:pPr>
            <w:r w:rsidRPr="00661D75">
              <w:rPr>
                <w:iCs/>
                <w:lang w:val="en-US" w:eastAsia="en-KE"/>
              </w:rPr>
              <w:t>CHMT</w:t>
            </w:r>
          </w:p>
        </w:tc>
        <w:tc>
          <w:tcPr>
            <w:tcW w:w="5080" w:type="dxa"/>
            <w:tcBorders>
              <w:top w:val="nil"/>
              <w:left w:val="nil"/>
              <w:bottom w:val="nil"/>
              <w:right w:val="nil"/>
            </w:tcBorders>
            <w:shd w:val="clear" w:color="auto" w:fill="auto"/>
            <w:vAlign w:val="center"/>
            <w:hideMark/>
          </w:tcPr>
          <w:p w14:paraId="49F7777E" w14:textId="77777777" w:rsidR="004A17D0" w:rsidRPr="00661D75" w:rsidRDefault="004A17D0" w:rsidP="00420FAC">
            <w:pPr>
              <w:rPr>
                <w:iCs/>
                <w:lang w:val="en-KE" w:eastAsia="en-KE"/>
              </w:rPr>
            </w:pPr>
            <w:r w:rsidRPr="00661D75">
              <w:rPr>
                <w:iCs/>
                <w:lang w:val="en-US" w:eastAsia="en-KE"/>
              </w:rPr>
              <w:t>County Health Management Team</w:t>
            </w:r>
          </w:p>
        </w:tc>
      </w:tr>
      <w:tr w:rsidR="00420FAC" w:rsidRPr="00661D75" w14:paraId="7DFB04DE" w14:textId="77777777" w:rsidTr="004A17D0">
        <w:trPr>
          <w:trHeight w:val="330"/>
        </w:trPr>
        <w:tc>
          <w:tcPr>
            <w:tcW w:w="1520" w:type="dxa"/>
            <w:tcBorders>
              <w:top w:val="nil"/>
              <w:left w:val="nil"/>
              <w:bottom w:val="nil"/>
              <w:right w:val="nil"/>
            </w:tcBorders>
            <w:shd w:val="clear" w:color="auto" w:fill="auto"/>
            <w:vAlign w:val="center"/>
            <w:hideMark/>
          </w:tcPr>
          <w:p w14:paraId="3A979694" w14:textId="77777777" w:rsidR="004A17D0" w:rsidRPr="00661D75" w:rsidRDefault="004A17D0" w:rsidP="00420FAC">
            <w:pPr>
              <w:rPr>
                <w:iCs/>
                <w:lang w:val="en-KE" w:eastAsia="en-KE"/>
              </w:rPr>
            </w:pPr>
            <w:r w:rsidRPr="00661D75">
              <w:rPr>
                <w:iCs/>
                <w:lang w:val="en-US" w:eastAsia="en-KE"/>
              </w:rPr>
              <w:t>CHS</w:t>
            </w:r>
          </w:p>
        </w:tc>
        <w:tc>
          <w:tcPr>
            <w:tcW w:w="5080" w:type="dxa"/>
            <w:tcBorders>
              <w:top w:val="nil"/>
              <w:left w:val="nil"/>
              <w:bottom w:val="nil"/>
              <w:right w:val="nil"/>
            </w:tcBorders>
            <w:shd w:val="clear" w:color="auto" w:fill="auto"/>
            <w:vAlign w:val="center"/>
            <w:hideMark/>
          </w:tcPr>
          <w:p w14:paraId="64788108" w14:textId="77777777" w:rsidR="004A17D0" w:rsidRPr="00661D75" w:rsidRDefault="004A17D0" w:rsidP="00420FAC">
            <w:pPr>
              <w:rPr>
                <w:iCs/>
                <w:lang w:val="en-KE" w:eastAsia="en-KE"/>
              </w:rPr>
            </w:pPr>
            <w:r w:rsidRPr="00661D75">
              <w:rPr>
                <w:iCs/>
                <w:lang w:val="en-US" w:eastAsia="en-KE"/>
              </w:rPr>
              <w:t>Community Health Services</w:t>
            </w:r>
          </w:p>
        </w:tc>
      </w:tr>
      <w:tr w:rsidR="00420FAC" w:rsidRPr="00661D75" w14:paraId="19076DBC" w14:textId="77777777" w:rsidTr="004A17D0">
        <w:trPr>
          <w:trHeight w:val="330"/>
        </w:trPr>
        <w:tc>
          <w:tcPr>
            <w:tcW w:w="1520" w:type="dxa"/>
            <w:tcBorders>
              <w:top w:val="nil"/>
              <w:left w:val="nil"/>
              <w:bottom w:val="nil"/>
              <w:right w:val="nil"/>
            </w:tcBorders>
            <w:shd w:val="clear" w:color="auto" w:fill="auto"/>
            <w:vAlign w:val="center"/>
            <w:hideMark/>
          </w:tcPr>
          <w:p w14:paraId="21F6A73F" w14:textId="77777777" w:rsidR="004A17D0" w:rsidRPr="00661D75" w:rsidRDefault="004A17D0" w:rsidP="00420FAC">
            <w:pPr>
              <w:rPr>
                <w:iCs/>
                <w:lang w:val="en-KE" w:eastAsia="en-KE"/>
              </w:rPr>
            </w:pPr>
            <w:r w:rsidRPr="00661D75">
              <w:rPr>
                <w:iCs/>
                <w:lang w:val="en-US" w:eastAsia="en-KE"/>
              </w:rPr>
              <w:t>CHP</w:t>
            </w:r>
          </w:p>
        </w:tc>
        <w:tc>
          <w:tcPr>
            <w:tcW w:w="5080" w:type="dxa"/>
            <w:tcBorders>
              <w:top w:val="nil"/>
              <w:left w:val="nil"/>
              <w:bottom w:val="nil"/>
              <w:right w:val="nil"/>
            </w:tcBorders>
            <w:shd w:val="clear" w:color="auto" w:fill="auto"/>
            <w:vAlign w:val="center"/>
            <w:hideMark/>
          </w:tcPr>
          <w:p w14:paraId="0E7AD343" w14:textId="77777777" w:rsidR="004A17D0" w:rsidRPr="00661D75" w:rsidRDefault="004A17D0" w:rsidP="00420FAC">
            <w:pPr>
              <w:rPr>
                <w:iCs/>
                <w:lang w:val="en-KE" w:eastAsia="en-KE"/>
              </w:rPr>
            </w:pPr>
            <w:r w:rsidRPr="00661D75">
              <w:rPr>
                <w:iCs/>
                <w:lang w:val="en-US" w:eastAsia="en-KE"/>
              </w:rPr>
              <w:t>Community Health Promoter</w:t>
            </w:r>
          </w:p>
        </w:tc>
      </w:tr>
      <w:tr w:rsidR="00420FAC" w:rsidRPr="00661D75" w14:paraId="06D1C3D1" w14:textId="77777777" w:rsidTr="004A17D0">
        <w:trPr>
          <w:trHeight w:val="330"/>
        </w:trPr>
        <w:tc>
          <w:tcPr>
            <w:tcW w:w="1520" w:type="dxa"/>
            <w:tcBorders>
              <w:top w:val="nil"/>
              <w:left w:val="nil"/>
              <w:bottom w:val="nil"/>
              <w:right w:val="nil"/>
            </w:tcBorders>
            <w:shd w:val="clear" w:color="auto" w:fill="auto"/>
            <w:vAlign w:val="center"/>
            <w:hideMark/>
          </w:tcPr>
          <w:p w14:paraId="4D098835" w14:textId="77777777" w:rsidR="004A17D0" w:rsidRPr="00661D75" w:rsidRDefault="004A17D0" w:rsidP="00420FAC">
            <w:pPr>
              <w:rPr>
                <w:iCs/>
                <w:lang w:val="en-KE" w:eastAsia="en-KE"/>
              </w:rPr>
            </w:pPr>
            <w:r w:rsidRPr="00661D75">
              <w:rPr>
                <w:iCs/>
                <w:lang w:val="en-US" w:eastAsia="en-KE"/>
              </w:rPr>
              <w:t>CI</w:t>
            </w:r>
          </w:p>
        </w:tc>
        <w:tc>
          <w:tcPr>
            <w:tcW w:w="5080" w:type="dxa"/>
            <w:tcBorders>
              <w:top w:val="nil"/>
              <w:left w:val="nil"/>
              <w:bottom w:val="nil"/>
              <w:right w:val="nil"/>
            </w:tcBorders>
            <w:shd w:val="clear" w:color="auto" w:fill="auto"/>
            <w:vAlign w:val="center"/>
            <w:hideMark/>
          </w:tcPr>
          <w:p w14:paraId="01BB3AF7" w14:textId="77777777" w:rsidR="004A17D0" w:rsidRPr="00661D75" w:rsidRDefault="004A17D0" w:rsidP="00420FAC">
            <w:pPr>
              <w:rPr>
                <w:iCs/>
                <w:lang w:val="en-KE" w:eastAsia="en-KE"/>
              </w:rPr>
            </w:pPr>
            <w:r w:rsidRPr="00661D75">
              <w:rPr>
                <w:iCs/>
                <w:lang w:val="en-US" w:eastAsia="en-KE"/>
              </w:rPr>
              <w:t>Confidence interval</w:t>
            </w:r>
          </w:p>
        </w:tc>
      </w:tr>
      <w:tr w:rsidR="00420FAC" w:rsidRPr="00661D75" w14:paraId="46221F52" w14:textId="77777777" w:rsidTr="004A17D0">
        <w:trPr>
          <w:trHeight w:val="330"/>
        </w:trPr>
        <w:tc>
          <w:tcPr>
            <w:tcW w:w="1520" w:type="dxa"/>
            <w:tcBorders>
              <w:top w:val="nil"/>
              <w:left w:val="nil"/>
              <w:bottom w:val="nil"/>
              <w:right w:val="nil"/>
            </w:tcBorders>
            <w:shd w:val="clear" w:color="auto" w:fill="auto"/>
            <w:vAlign w:val="center"/>
            <w:hideMark/>
          </w:tcPr>
          <w:p w14:paraId="3851D13E" w14:textId="77777777" w:rsidR="004A17D0" w:rsidRPr="00661D75" w:rsidRDefault="004A17D0" w:rsidP="00420FAC">
            <w:pPr>
              <w:rPr>
                <w:iCs/>
                <w:lang w:val="en-KE" w:eastAsia="en-KE"/>
              </w:rPr>
            </w:pPr>
            <w:r w:rsidRPr="00661D75">
              <w:rPr>
                <w:iCs/>
                <w:lang w:val="en-US" w:eastAsia="en-KE"/>
              </w:rPr>
              <w:t>CIDP</w:t>
            </w:r>
          </w:p>
        </w:tc>
        <w:tc>
          <w:tcPr>
            <w:tcW w:w="5080" w:type="dxa"/>
            <w:tcBorders>
              <w:top w:val="nil"/>
              <w:left w:val="nil"/>
              <w:bottom w:val="nil"/>
              <w:right w:val="nil"/>
            </w:tcBorders>
            <w:shd w:val="clear" w:color="auto" w:fill="auto"/>
            <w:vAlign w:val="center"/>
            <w:hideMark/>
          </w:tcPr>
          <w:p w14:paraId="35D4F75B" w14:textId="77777777" w:rsidR="004A17D0" w:rsidRPr="00661D75" w:rsidRDefault="004A17D0" w:rsidP="00420FAC">
            <w:pPr>
              <w:rPr>
                <w:iCs/>
                <w:lang w:val="en-KE" w:eastAsia="en-KE"/>
              </w:rPr>
            </w:pPr>
            <w:r w:rsidRPr="00661D75">
              <w:rPr>
                <w:iCs/>
                <w:lang w:val="en-US" w:eastAsia="en-KE"/>
              </w:rPr>
              <w:t>County Integrated Development Plan</w:t>
            </w:r>
          </w:p>
        </w:tc>
      </w:tr>
      <w:tr w:rsidR="00420FAC" w:rsidRPr="00661D75" w14:paraId="114F4097" w14:textId="77777777" w:rsidTr="004A17D0">
        <w:trPr>
          <w:trHeight w:val="330"/>
        </w:trPr>
        <w:tc>
          <w:tcPr>
            <w:tcW w:w="1520" w:type="dxa"/>
            <w:tcBorders>
              <w:top w:val="nil"/>
              <w:left w:val="nil"/>
              <w:bottom w:val="nil"/>
              <w:right w:val="nil"/>
            </w:tcBorders>
            <w:shd w:val="clear" w:color="auto" w:fill="auto"/>
            <w:vAlign w:val="center"/>
            <w:hideMark/>
          </w:tcPr>
          <w:p w14:paraId="26186EA6" w14:textId="77777777" w:rsidR="004A17D0" w:rsidRPr="00661D75" w:rsidRDefault="004A17D0" w:rsidP="00420FAC">
            <w:pPr>
              <w:rPr>
                <w:iCs/>
                <w:lang w:val="en-KE" w:eastAsia="en-KE"/>
              </w:rPr>
            </w:pPr>
            <w:r w:rsidRPr="00661D75">
              <w:rPr>
                <w:iCs/>
                <w:lang w:val="en-US" w:eastAsia="en-KE"/>
              </w:rPr>
              <w:t>CLTS</w:t>
            </w:r>
          </w:p>
        </w:tc>
        <w:tc>
          <w:tcPr>
            <w:tcW w:w="5080" w:type="dxa"/>
            <w:tcBorders>
              <w:top w:val="nil"/>
              <w:left w:val="nil"/>
              <w:bottom w:val="nil"/>
              <w:right w:val="nil"/>
            </w:tcBorders>
            <w:shd w:val="clear" w:color="auto" w:fill="auto"/>
            <w:vAlign w:val="center"/>
            <w:hideMark/>
          </w:tcPr>
          <w:p w14:paraId="12599253" w14:textId="77777777" w:rsidR="004A17D0" w:rsidRPr="00661D75" w:rsidRDefault="004A17D0" w:rsidP="00420FAC">
            <w:pPr>
              <w:rPr>
                <w:iCs/>
                <w:lang w:val="en-KE" w:eastAsia="en-KE"/>
              </w:rPr>
            </w:pPr>
            <w:r w:rsidRPr="00661D75">
              <w:rPr>
                <w:iCs/>
                <w:lang w:val="en-US" w:eastAsia="en-KE"/>
              </w:rPr>
              <w:t>Community led Total Sanitation</w:t>
            </w:r>
          </w:p>
        </w:tc>
      </w:tr>
      <w:tr w:rsidR="00420FAC" w:rsidRPr="00661D75" w14:paraId="727D2B0B" w14:textId="77777777" w:rsidTr="004A17D0">
        <w:trPr>
          <w:trHeight w:val="330"/>
        </w:trPr>
        <w:tc>
          <w:tcPr>
            <w:tcW w:w="1520" w:type="dxa"/>
            <w:tcBorders>
              <w:top w:val="nil"/>
              <w:left w:val="nil"/>
              <w:bottom w:val="nil"/>
              <w:right w:val="nil"/>
            </w:tcBorders>
            <w:shd w:val="clear" w:color="auto" w:fill="auto"/>
            <w:vAlign w:val="center"/>
            <w:hideMark/>
          </w:tcPr>
          <w:p w14:paraId="286D8A71" w14:textId="77777777" w:rsidR="004A17D0" w:rsidRPr="00661D75" w:rsidRDefault="004A17D0" w:rsidP="00420FAC">
            <w:pPr>
              <w:rPr>
                <w:iCs/>
                <w:lang w:val="en-KE" w:eastAsia="en-KE"/>
              </w:rPr>
            </w:pPr>
            <w:r w:rsidRPr="00661D75">
              <w:rPr>
                <w:iCs/>
                <w:lang w:val="en-US" w:eastAsia="en-KE"/>
              </w:rPr>
              <w:t>cm</w:t>
            </w:r>
          </w:p>
        </w:tc>
        <w:tc>
          <w:tcPr>
            <w:tcW w:w="5080" w:type="dxa"/>
            <w:tcBorders>
              <w:top w:val="nil"/>
              <w:left w:val="nil"/>
              <w:bottom w:val="nil"/>
              <w:right w:val="nil"/>
            </w:tcBorders>
            <w:shd w:val="clear" w:color="auto" w:fill="auto"/>
            <w:vAlign w:val="center"/>
            <w:hideMark/>
          </w:tcPr>
          <w:p w14:paraId="0D64E3A0" w14:textId="77777777" w:rsidR="004A17D0" w:rsidRPr="00661D75" w:rsidRDefault="004A17D0" w:rsidP="00420FAC">
            <w:pPr>
              <w:rPr>
                <w:iCs/>
                <w:lang w:val="en-KE" w:eastAsia="en-KE"/>
              </w:rPr>
            </w:pPr>
            <w:r w:rsidRPr="00661D75">
              <w:rPr>
                <w:iCs/>
                <w:lang w:val="en-US" w:eastAsia="en-KE"/>
              </w:rPr>
              <w:t>Centimeter</w:t>
            </w:r>
          </w:p>
        </w:tc>
      </w:tr>
      <w:tr w:rsidR="00420FAC" w:rsidRPr="00661D75" w14:paraId="55C8340B" w14:textId="77777777" w:rsidTr="004A17D0">
        <w:trPr>
          <w:trHeight w:val="330"/>
        </w:trPr>
        <w:tc>
          <w:tcPr>
            <w:tcW w:w="1520" w:type="dxa"/>
            <w:tcBorders>
              <w:top w:val="nil"/>
              <w:left w:val="nil"/>
              <w:bottom w:val="nil"/>
              <w:right w:val="nil"/>
            </w:tcBorders>
            <w:shd w:val="clear" w:color="auto" w:fill="auto"/>
            <w:vAlign w:val="center"/>
            <w:hideMark/>
          </w:tcPr>
          <w:p w14:paraId="46E92E7F" w14:textId="77777777" w:rsidR="004A17D0" w:rsidRPr="00661D75" w:rsidRDefault="004A17D0" w:rsidP="00420FAC">
            <w:pPr>
              <w:rPr>
                <w:iCs/>
                <w:lang w:val="en-KE" w:eastAsia="en-KE"/>
              </w:rPr>
            </w:pPr>
            <w:r w:rsidRPr="00661D75">
              <w:rPr>
                <w:iCs/>
                <w:lang w:val="en-US" w:eastAsia="en-KE"/>
              </w:rPr>
              <w:t>CNC</w:t>
            </w:r>
          </w:p>
        </w:tc>
        <w:tc>
          <w:tcPr>
            <w:tcW w:w="5080" w:type="dxa"/>
            <w:tcBorders>
              <w:top w:val="nil"/>
              <w:left w:val="nil"/>
              <w:bottom w:val="nil"/>
              <w:right w:val="nil"/>
            </w:tcBorders>
            <w:shd w:val="clear" w:color="auto" w:fill="auto"/>
            <w:vAlign w:val="center"/>
            <w:hideMark/>
          </w:tcPr>
          <w:p w14:paraId="7AA98E62" w14:textId="77777777" w:rsidR="004A17D0" w:rsidRPr="00661D75" w:rsidRDefault="004A17D0" w:rsidP="00420FAC">
            <w:pPr>
              <w:rPr>
                <w:iCs/>
                <w:lang w:val="en-KE" w:eastAsia="en-KE"/>
              </w:rPr>
            </w:pPr>
            <w:r w:rsidRPr="00661D75">
              <w:rPr>
                <w:iCs/>
                <w:lang w:val="en-US" w:eastAsia="en-KE"/>
              </w:rPr>
              <w:t>County Nutrition Coordinator</w:t>
            </w:r>
          </w:p>
        </w:tc>
      </w:tr>
      <w:tr w:rsidR="00420FAC" w:rsidRPr="00661D75" w14:paraId="79501C7F" w14:textId="77777777" w:rsidTr="004A17D0">
        <w:trPr>
          <w:trHeight w:val="330"/>
        </w:trPr>
        <w:tc>
          <w:tcPr>
            <w:tcW w:w="1520" w:type="dxa"/>
            <w:tcBorders>
              <w:top w:val="nil"/>
              <w:left w:val="nil"/>
              <w:bottom w:val="nil"/>
              <w:right w:val="nil"/>
            </w:tcBorders>
            <w:shd w:val="clear" w:color="auto" w:fill="auto"/>
            <w:vAlign w:val="center"/>
            <w:hideMark/>
          </w:tcPr>
          <w:p w14:paraId="7C81804E" w14:textId="77777777" w:rsidR="004A17D0" w:rsidRPr="00661D75" w:rsidRDefault="004A17D0" w:rsidP="00420FAC">
            <w:pPr>
              <w:rPr>
                <w:iCs/>
                <w:lang w:val="en-KE" w:eastAsia="en-KE"/>
              </w:rPr>
            </w:pPr>
            <w:r w:rsidRPr="00661D75">
              <w:rPr>
                <w:iCs/>
                <w:lang w:val="en-US" w:eastAsia="en-KE"/>
              </w:rPr>
              <w:t>CO</w:t>
            </w:r>
          </w:p>
        </w:tc>
        <w:tc>
          <w:tcPr>
            <w:tcW w:w="5080" w:type="dxa"/>
            <w:tcBorders>
              <w:top w:val="nil"/>
              <w:left w:val="nil"/>
              <w:bottom w:val="nil"/>
              <w:right w:val="nil"/>
            </w:tcBorders>
            <w:shd w:val="clear" w:color="auto" w:fill="auto"/>
            <w:vAlign w:val="center"/>
            <w:hideMark/>
          </w:tcPr>
          <w:p w14:paraId="0F242946" w14:textId="77777777" w:rsidR="004A17D0" w:rsidRPr="00661D75" w:rsidRDefault="004A17D0" w:rsidP="00420FAC">
            <w:pPr>
              <w:rPr>
                <w:iCs/>
                <w:lang w:val="en-KE" w:eastAsia="en-KE"/>
              </w:rPr>
            </w:pPr>
            <w:r w:rsidRPr="00661D75">
              <w:rPr>
                <w:iCs/>
                <w:lang w:val="en-US" w:eastAsia="en-KE"/>
              </w:rPr>
              <w:t>Chief Officer</w:t>
            </w:r>
          </w:p>
        </w:tc>
      </w:tr>
      <w:tr w:rsidR="00420FAC" w:rsidRPr="00661D75" w14:paraId="56543AB7" w14:textId="77777777" w:rsidTr="004A17D0">
        <w:trPr>
          <w:trHeight w:val="330"/>
        </w:trPr>
        <w:tc>
          <w:tcPr>
            <w:tcW w:w="1520" w:type="dxa"/>
            <w:tcBorders>
              <w:top w:val="nil"/>
              <w:left w:val="nil"/>
              <w:bottom w:val="nil"/>
              <w:right w:val="nil"/>
            </w:tcBorders>
            <w:shd w:val="clear" w:color="auto" w:fill="auto"/>
            <w:vAlign w:val="center"/>
            <w:hideMark/>
          </w:tcPr>
          <w:p w14:paraId="11622B93" w14:textId="77777777" w:rsidR="004A17D0" w:rsidRPr="00661D75" w:rsidRDefault="004A17D0" w:rsidP="00420FAC">
            <w:pPr>
              <w:rPr>
                <w:iCs/>
                <w:lang w:val="en-KE" w:eastAsia="en-KE"/>
              </w:rPr>
            </w:pPr>
            <w:r w:rsidRPr="00661D75">
              <w:rPr>
                <w:iCs/>
                <w:lang w:val="en-US" w:eastAsia="en-KE"/>
              </w:rPr>
              <w:t>CSB</w:t>
            </w:r>
          </w:p>
        </w:tc>
        <w:tc>
          <w:tcPr>
            <w:tcW w:w="5080" w:type="dxa"/>
            <w:tcBorders>
              <w:top w:val="nil"/>
              <w:left w:val="nil"/>
              <w:bottom w:val="nil"/>
              <w:right w:val="nil"/>
            </w:tcBorders>
            <w:shd w:val="clear" w:color="auto" w:fill="auto"/>
            <w:vAlign w:val="center"/>
            <w:hideMark/>
          </w:tcPr>
          <w:p w14:paraId="7E2E6E8E" w14:textId="77777777" w:rsidR="004A17D0" w:rsidRPr="00661D75" w:rsidRDefault="004A17D0" w:rsidP="00420FAC">
            <w:pPr>
              <w:rPr>
                <w:iCs/>
                <w:lang w:val="en-KE" w:eastAsia="en-KE"/>
              </w:rPr>
            </w:pPr>
            <w:r w:rsidRPr="00661D75">
              <w:rPr>
                <w:iCs/>
                <w:lang w:val="en-US" w:eastAsia="en-KE"/>
              </w:rPr>
              <w:t>Corn Soy Blend</w:t>
            </w:r>
          </w:p>
        </w:tc>
      </w:tr>
      <w:tr w:rsidR="00420FAC" w:rsidRPr="00661D75" w14:paraId="10EA3C2B" w14:textId="77777777" w:rsidTr="004A17D0">
        <w:trPr>
          <w:trHeight w:val="330"/>
        </w:trPr>
        <w:tc>
          <w:tcPr>
            <w:tcW w:w="1520" w:type="dxa"/>
            <w:tcBorders>
              <w:top w:val="nil"/>
              <w:left w:val="nil"/>
              <w:bottom w:val="nil"/>
              <w:right w:val="nil"/>
            </w:tcBorders>
            <w:shd w:val="clear" w:color="auto" w:fill="auto"/>
            <w:vAlign w:val="center"/>
            <w:hideMark/>
          </w:tcPr>
          <w:p w14:paraId="785D6581" w14:textId="77777777" w:rsidR="004A17D0" w:rsidRPr="00661D75" w:rsidRDefault="004A17D0" w:rsidP="00420FAC">
            <w:pPr>
              <w:rPr>
                <w:iCs/>
                <w:lang w:val="en-KE" w:eastAsia="en-KE"/>
              </w:rPr>
            </w:pPr>
            <w:r w:rsidRPr="00661D75">
              <w:rPr>
                <w:iCs/>
                <w:lang w:val="en-US" w:eastAsia="en-KE"/>
              </w:rPr>
              <w:t>CSG</w:t>
            </w:r>
          </w:p>
        </w:tc>
        <w:tc>
          <w:tcPr>
            <w:tcW w:w="5080" w:type="dxa"/>
            <w:tcBorders>
              <w:top w:val="nil"/>
              <w:left w:val="nil"/>
              <w:bottom w:val="nil"/>
              <w:right w:val="nil"/>
            </w:tcBorders>
            <w:shd w:val="clear" w:color="auto" w:fill="auto"/>
            <w:vAlign w:val="center"/>
            <w:hideMark/>
          </w:tcPr>
          <w:p w14:paraId="320BFCB3" w14:textId="77777777" w:rsidR="004A17D0" w:rsidRPr="00661D75" w:rsidRDefault="004A17D0" w:rsidP="00420FAC">
            <w:pPr>
              <w:rPr>
                <w:iCs/>
                <w:lang w:val="en-KE" w:eastAsia="en-KE"/>
              </w:rPr>
            </w:pPr>
            <w:r w:rsidRPr="00661D75">
              <w:rPr>
                <w:iCs/>
                <w:lang w:val="en-US" w:eastAsia="en-KE"/>
              </w:rPr>
              <w:t>County Steering Group</w:t>
            </w:r>
          </w:p>
        </w:tc>
      </w:tr>
      <w:tr w:rsidR="00420FAC" w:rsidRPr="00661D75" w14:paraId="7F4590DB" w14:textId="77777777" w:rsidTr="004A17D0">
        <w:trPr>
          <w:trHeight w:val="330"/>
        </w:trPr>
        <w:tc>
          <w:tcPr>
            <w:tcW w:w="1520" w:type="dxa"/>
            <w:tcBorders>
              <w:top w:val="nil"/>
              <w:left w:val="nil"/>
              <w:bottom w:val="nil"/>
              <w:right w:val="nil"/>
            </w:tcBorders>
            <w:shd w:val="clear" w:color="auto" w:fill="auto"/>
            <w:vAlign w:val="center"/>
            <w:hideMark/>
          </w:tcPr>
          <w:p w14:paraId="0512E8A2" w14:textId="77777777" w:rsidR="004A17D0" w:rsidRPr="00661D75" w:rsidRDefault="004A17D0" w:rsidP="00420FAC">
            <w:pPr>
              <w:rPr>
                <w:iCs/>
                <w:lang w:val="en-KE" w:eastAsia="en-KE"/>
              </w:rPr>
            </w:pPr>
            <w:r w:rsidRPr="00661D75">
              <w:rPr>
                <w:iCs/>
                <w:lang w:val="en-US" w:eastAsia="en-KE"/>
              </w:rPr>
              <w:t>CSI</w:t>
            </w:r>
          </w:p>
        </w:tc>
        <w:tc>
          <w:tcPr>
            <w:tcW w:w="5080" w:type="dxa"/>
            <w:tcBorders>
              <w:top w:val="nil"/>
              <w:left w:val="nil"/>
              <w:bottom w:val="nil"/>
              <w:right w:val="nil"/>
            </w:tcBorders>
            <w:shd w:val="clear" w:color="auto" w:fill="auto"/>
            <w:vAlign w:val="center"/>
            <w:hideMark/>
          </w:tcPr>
          <w:p w14:paraId="41734C5E" w14:textId="77777777" w:rsidR="004A17D0" w:rsidRPr="00661D75" w:rsidRDefault="004A17D0" w:rsidP="00420FAC">
            <w:pPr>
              <w:rPr>
                <w:iCs/>
                <w:lang w:val="en-KE" w:eastAsia="en-KE"/>
              </w:rPr>
            </w:pPr>
            <w:r w:rsidRPr="00661D75">
              <w:rPr>
                <w:iCs/>
                <w:lang w:val="en-US" w:eastAsia="en-KE"/>
              </w:rPr>
              <w:t>Coping strategy index</w:t>
            </w:r>
          </w:p>
        </w:tc>
      </w:tr>
      <w:tr w:rsidR="00420FAC" w:rsidRPr="00661D75" w14:paraId="3BD0DC98" w14:textId="77777777" w:rsidTr="004A17D0">
        <w:trPr>
          <w:trHeight w:val="330"/>
        </w:trPr>
        <w:tc>
          <w:tcPr>
            <w:tcW w:w="1520" w:type="dxa"/>
            <w:tcBorders>
              <w:top w:val="nil"/>
              <w:left w:val="nil"/>
              <w:bottom w:val="nil"/>
              <w:right w:val="nil"/>
            </w:tcBorders>
            <w:shd w:val="clear" w:color="auto" w:fill="auto"/>
            <w:vAlign w:val="center"/>
            <w:hideMark/>
          </w:tcPr>
          <w:p w14:paraId="2AD3122D" w14:textId="77777777" w:rsidR="004A17D0" w:rsidRPr="00661D75" w:rsidRDefault="004A17D0" w:rsidP="00420FAC">
            <w:pPr>
              <w:rPr>
                <w:iCs/>
                <w:lang w:val="en-KE" w:eastAsia="en-KE"/>
              </w:rPr>
            </w:pPr>
            <w:r w:rsidRPr="00661D75">
              <w:rPr>
                <w:iCs/>
                <w:lang w:val="en-US" w:eastAsia="en-KE"/>
              </w:rPr>
              <w:t>DD</w:t>
            </w:r>
          </w:p>
        </w:tc>
        <w:tc>
          <w:tcPr>
            <w:tcW w:w="5080" w:type="dxa"/>
            <w:tcBorders>
              <w:top w:val="nil"/>
              <w:left w:val="nil"/>
              <w:bottom w:val="nil"/>
              <w:right w:val="nil"/>
            </w:tcBorders>
            <w:shd w:val="clear" w:color="auto" w:fill="auto"/>
            <w:vAlign w:val="center"/>
            <w:hideMark/>
          </w:tcPr>
          <w:p w14:paraId="7E6D227C" w14:textId="77777777" w:rsidR="004A17D0" w:rsidRPr="00661D75" w:rsidRDefault="004A17D0" w:rsidP="00420FAC">
            <w:pPr>
              <w:rPr>
                <w:iCs/>
                <w:lang w:val="en-KE" w:eastAsia="en-KE"/>
              </w:rPr>
            </w:pPr>
            <w:r w:rsidRPr="00661D75">
              <w:rPr>
                <w:iCs/>
                <w:lang w:val="en-US" w:eastAsia="en-KE"/>
              </w:rPr>
              <w:t>Dietary Diversity</w:t>
            </w:r>
          </w:p>
        </w:tc>
      </w:tr>
      <w:tr w:rsidR="00420FAC" w:rsidRPr="00661D75" w14:paraId="153EB925" w14:textId="77777777" w:rsidTr="004A17D0">
        <w:trPr>
          <w:trHeight w:val="330"/>
        </w:trPr>
        <w:tc>
          <w:tcPr>
            <w:tcW w:w="1520" w:type="dxa"/>
            <w:tcBorders>
              <w:top w:val="nil"/>
              <w:left w:val="nil"/>
              <w:bottom w:val="nil"/>
              <w:right w:val="nil"/>
            </w:tcBorders>
            <w:shd w:val="clear" w:color="auto" w:fill="auto"/>
            <w:vAlign w:val="center"/>
            <w:hideMark/>
          </w:tcPr>
          <w:p w14:paraId="56AB7C46" w14:textId="77777777" w:rsidR="004A17D0" w:rsidRPr="00661D75" w:rsidRDefault="004A17D0" w:rsidP="00420FAC">
            <w:pPr>
              <w:rPr>
                <w:iCs/>
                <w:lang w:val="en-KE" w:eastAsia="en-KE"/>
              </w:rPr>
            </w:pPr>
            <w:r w:rsidRPr="00661D75">
              <w:rPr>
                <w:iCs/>
                <w:lang w:eastAsia="en-KE"/>
              </w:rPr>
              <w:t>DEFF</w:t>
            </w:r>
          </w:p>
        </w:tc>
        <w:tc>
          <w:tcPr>
            <w:tcW w:w="5080" w:type="dxa"/>
            <w:tcBorders>
              <w:top w:val="nil"/>
              <w:left w:val="nil"/>
              <w:bottom w:val="nil"/>
              <w:right w:val="nil"/>
            </w:tcBorders>
            <w:shd w:val="clear" w:color="auto" w:fill="auto"/>
            <w:vAlign w:val="center"/>
            <w:hideMark/>
          </w:tcPr>
          <w:p w14:paraId="0BCB6718" w14:textId="77777777" w:rsidR="004A17D0" w:rsidRPr="00661D75" w:rsidRDefault="004A17D0" w:rsidP="00420FAC">
            <w:pPr>
              <w:rPr>
                <w:iCs/>
                <w:lang w:val="en-KE" w:eastAsia="en-KE"/>
              </w:rPr>
            </w:pPr>
            <w:r w:rsidRPr="00661D75">
              <w:rPr>
                <w:iCs/>
                <w:lang w:eastAsia="en-KE"/>
              </w:rPr>
              <w:t>Design Effect</w:t>
            </w:r>
          </w:p>
        </w:tc>
      </w:tr>
      <w:tr w:rsidR="00420FAC" w:rsidRPr="00661D75" w14:paraId="6B7C04D9" w14:textId="77777777" w:rsidTr="004A17D0">
        <w:trPr>
          <w:trHeight w:val="330"/>
        </w:trPr>
        <w:tc>
          <w:tcPr>
            <w:tcW w:w="1520" w:type="dxa"/>
            <w:tcBorders>
              <w:top w:val="nil"/>
              <w:left w:val="nil"/>
              <w:bottom w:val="nil"/>
              <w:right w:val="nil"/>
            </w:tcBorders>
            <w:shd w:val="clear" w:color="auto" w:fill="auto"/>
            <w:vAlign w:val="center"/>
            <w:hideMark/>
          </w:tcPr>
          <w:p w14:paraId="2251877A" w14:textId="77777777" w:rsidR="004A17D0" w:rsidRPr="00661D75" w:rsidRDefault="004A17D0" w:rsidP="00420FAC">
            <w:pPr>
              <w:rPr>
                <w:iCs/>
                <w:lang w:val="en-KE" w:eastAsia="en-KE"/>
              </w:rPr>
            </w:pPr>
            <w:r w:rsidRPr="00661D75">
              <w:rPr>
                <w:iCs/>
                <w:lang w:val="en-US" w:eastAsia="en-KE"/>
              </w:rPr>
              <w:t>EWS</w:t>
            </w:r>
          </w:p>
        </w:tc>
        <w:tc>
          <w:tcPr>
            <w:tcW w:w="5080" w:type="dxa"/>
            <w:tcBorders>
              <w:top w:val="nil"/>
              <w:left w:val="nil"/>
              <w:bottom w:val="nil"/>
              <w:right w:val="nil"/>
            </w:tcBorders>
            <w:shd w:val="clear" w:color="auto" w:fill="auto"/>
            <w:vAlign w:val="center"/>
            <w:hideMark/>
          </w:tcPr>
          <w:p w14:paraId="2CC70E4A" w14:textId="77777777" w:rsidR="004A17D0" w:rsidRPr="00661D75" w:rsidRDefault="004A17D0" w:rsidP="00420FAC">
            <w:pPr>
              <w:rPr>
                <w:iCs/>
                <w:lang w:val="en-KE" w:eastAsia="en-KE"/>
              </w:rPr>
            </w:pPr>
            <w:r w:rsidRPr="00661D75">
              <w:rPr>
                <w:iCs/>
                <w:lang w:val="en-US" w:eastAsia="en-KE"/>
              </w:rPr>
              <w:t>Early Warning System</w:t>
            </w:r>
          </w:p>
        </w:tc>
      </w:tr>
      <w:tr w:rsidR="00420FAC" w:rsidRPr="00661D75" w14:paraId="38E3F004" w14:textId="77777777" w:rsidTr="004A17D0">
        <w:trPr>
          <w:trHeight w:val="330"/>
        </w:trPr>
        <w:tc>
          <w:tcPr>
            <w:tcW w:w="1520" w:type="dxa"/>
            <w:tcBorders>
              <w:top w:val="nil"/>
              <w:left w:val="nil"/>
              <w:bottom w:val="nil"/>
              <w:right w:val="nil"/>
            </w:tcBorders>
            <w:shd w:val="clear" w:color="auto" w:fill="auto"/>
            <w:vAlign w:val="center"/>
            <w:hideMark/>
          </w:tcPr>
          <w:p w14:paraId="0FD2DC1E" w14:textId="77777777" w:rsidR="004A17D0" w:rsidRPr="00661D75" w:rsidRDefault="004A17D0" w:rsidP="00420FAC">
            <w:pPr>
              <w:rPr>
                <w:iCs/>
                <w:lang w:val="en-KE" w:eastAsia="en-KE"/>
              </w:rPr>
            </w:pPr>
            <w:r w:rsidRPr="00661D75">
              <w:rPr>
                <w:iCs/>
                <w:lang w:val="en-US" w:eastAsia="en-KE"/>
              </w:rPr>
              <w:lastRenderedPageBreak/>
              <w:t>FCS</w:t>
            </w:r>
          </w:p>
        </w:tc>
        <w:tc>
          <w:tcPr>
            <w:tcW w:w="5080" w:type="dxa"/>
            <w:tcBorders>
              <w:top w:val="nil"/>
              <w:left w:val="nil"/>
              <w:bottom w:val="nil"/>
              <w:right w:val="nil"/>
            </w:tcBorders>
            <w:shd w:val="clear" w:color="auto" w:fill="auto"/>
            <w:vAlign w:val="center"/>
            <w:hideMark/>
          </w:tcPr>
          <w:p w14:paraId="275311F0" w14:textId="77777777" w:rsidR="004A17D0" w:rsidRPr="00661D75" w:rsidRDefault="004A17D0" w:rsidP="00420FAC">
            <w:pPr>
              <w:rPr>
                <w:iCs/>
                <w:lang w:val="en-KE" w:eastAsia="en-KE"/>
              </w:rPr>
            </w:pPr>
            <w:r w:rsidRPr="00661D75">
              <w:rPr>
                <w:iCs/>
                <w:lang w:val="en-US" w:eastAsia="en-KE"/>
              </w:rPr>
              <w:t>Food Consumption Score</w:t>
            </w:r>
          </w:p>
        </w:tc>
      </w:tr>
      <w:tr w:rsidR="00420FAC" w:rsidRPr="00661D75" w14:paraId="5C1D13D1" w14:textId="77777777" w:rsidTr="004A17D0">
        <w:trPr>
          <w:trHeight w:val="330"/>
        </w:trPr>
        <w:tc>
          <w:tcPr>
            <w:tcW w:w="1520" w:type="dxa"/>
            <w:tcBorders>
              <w:top w:val="nil"/>
              <w:left w:val="nil"/>
              <w:bottom w:val="nil"/>
              <w:right w:val="nil"/>
            </w:tcBorders>
            <w:shd w:val="clear" w:color="auto" w:fill="auto"/>
            <w:vAlign w:val="center"/>
            <w:hideMark/>
          </w:tcPr>
          <w:p w14:paraId="1B7B9C67" w14:textId="77777777" w:rsidR="004A17D0" w:rsidRPr="00661D75" w:rsidRDefault="004A17D0" w:rsidP="00420FAC">
            <w:pPr>
              <w:rPr>
                <w:iCs/>
                <w:lang w:val="en-KE" w:eastAsia="en-KE"/>
              </w:rPr>
            </w:pPr>
            <w:r w:rsidRPr="00661D75">
              <w:rPr>
                <w:iCs/>
                <w:lang w:val="en-US" w:eastAsia="en-KE"/>
              </w:rPr>
              <w:t>GAM</w:t>
            </w:r>
          </w:p>
        </w:tc>
        <w:tc>
          <w:tcPr>
            <w:tcW w:w="5080" w:type="dxa"/>
            <w:tcBorders>
              <w:top w:val="nil"/>
              <w:left w:val="nil"/>
              <w:bottom w:val="nil"/>
              <w:right w:val="nil"/>
            </w:tcBorders>
            <w:shd w:val="clear" w:color="auto" w:fill="auto"/>
            <w:vAlign w:val="center"/>
            <w:hideMark/>
          </w:tcPr>
          <w:p w14:paraId="702BD1D0" w14:textId="77777777" w:rsidR="004A17D0" w:rsidRPr="00661D75" w:rsidRDefault="004A17D0" w:rsidP="00420FAC">
            <w:pPr>
              <w:rPr>
                <w:iCs/>
                <w:lang w:val="en-KE" w:eastAsia="en-KE"/>
              </w:rPr>
            </w:pPr>
            <w:r w:rsidRPr="00661D75">
              <w:rPr>
                <w:iCs/>
                <w:lang w:val="en-US" w:eastAsia="en-KE"/>
              </w:rPr>
              <w:t>Global Acute Malnutrition</w:t>
            </w:r>
          </w:p>
        </w:tc>
      </w:tr>
      <w:tr w:rsidR="00420FAC" w:rsidRPr="00661D75" w14:paraId="0C3D93F1" w14:textId="77777777" w:rsidTr="004A17D0">
        <w:trPr>
          <w:trHeight w:val="330"/>
        </w:trPr>
        <w:tc>
          <w:tcPr>
            <w:tcW w:w="1520" w:type="dxa"/>
            <w:tcBorders>
              <w:top w:val="nil"/>
              <w:left w:val="nil"/>
              <w:bottom w:val="nil"/>
              <w:right w:val="nil"/>
            </w:tcBorders>
            <w:shd w:val="clear" w:color="auto" w:fill="auto"/>
            <w:vAlign w:val="center"/>
            <w:hideMark/>
          </w:tcPr>
          <w:p w14:paraId="628E317C" w14:textId="77777777" w:rsidR="004A17D0" w:rsidRPr="00661D75" w:rsidRDefault="004A17D0" w:rsidP="00420FAC">
            <w:pPr>
              <w:rPr>
                <w:iCs/>
                <w:lang w:val="en-KE" w:eastAsia="en-KE"/>
              </w:rPr>
            </w:pPr>
            <w:r w:rsidRPr="00661D75">
              <w:rPr>
                <w:iCs/>
                <w:lang w:val="en-US" w:eastAsia="en-KE"/>
              </w:rPr>
              <w:t>GoK</w:t>
            </w:r>
          </w:p>
        </w:tc>
        <w:tc>
          <w:tcPr>
            <w:tcW w:w="5080" w:type="dxa"/>
            <w:tcBorders>
              <w:top w:val="nil"/>
              <w:left w:val="nil"/>
              <w:bottom w:val="nil"/>
              <w:right w:val="nil"/>
            </w:tcBorders>
            <w:shd w:val="clear" w:color="auto" w:fill="auto"/>
            <w:vAlign w:val="center"/>
            <w:hideMark/>
          </w:tcPr>
          <w:p w14:paraId="040D45DB" w14:textId="77777777" w:rsidR="004A17D0" w:rsidRPr="00661D75" w:rsidRDefault="004A17D0" w:rsidP="00420FAC">
            <w:pPr>
              <w:rPr>
                <w:iCs/>
                <w:lang w:val="en-KE" w:eastAsia="en-KE"/>
              </w:rPr>
            </w:pPr>
            <w:r w:rsidRPr="00661D75">
              <w:rPr>
                <w:iCs/>
                <w:lang w:val="en-US" w:eastAsia="en-KE"/>
              </w:rPr>
              <w:t>Government of Kenya</w:t>
            </w:r>
          </w:p>
        </w:tc>
      </w:tr>
      <w:tr w:rsidR="00420FAC" w:rsidRPr="00661D75" w14:paraId="69AA6C19" w14:textId="77777777" w:rsidTr="004A17D0">
        <w:trPr>
          <w:trHeight w:val="330"/>
        </w:trPr>
        <w:tc>
          <w:tcPr>
            <w:tcW w:w="1520" w:type="dxa"/>
            <w:tcBorders>
              <w:top w:val="nil"/>
              <w:left w:val="nil"/>
              <w:bottom w:val="nil"/>
              <w:right w:val="nil"/>
            </w:tcBorders>
            <w:shd w:val="clear" w:color="auto" w:fill="auto"/>
            <w:vAlign w:val="center"/>
            <w:hideMark/>
          </w:tcPr>
          <w:p w14:paraId="31612C90" w14:textId="77777777" w:rsidR="004A17D0" w:rsidRPr="00661D75" w:rsidRDefault="004A17D0" w:rsidP="00420FAC">
            <w:pPr>
              <w:rPr>
                <w:iCs/>
                <w:lang w:val="en-KE" w:eastAsia="en-KE"/>
              </w:rPr>
            </w:pPr>
            <w:r w:rsidRPr="00661D75">
              <w:rPr>
                <w:iCs/>
                <w:lang w:val="en-US" w:eastAsia="en-KE"/>
              </w:rPr>
              <w:t>HAZ</w:t>
            </w:r>
          </w:p>
        </w:tc>
        <w:tc>
          <w:tcPr>
            <w:tcW w:w="5080" w:type="dxa"/>
            <w:tcBorders>
              <w:top w:val="nil"/>
              <w:left w:val="nil"/>
              <w:bottom w:val="nil"/>
              <w:right w:val="nil"/>
            </w:tcBorders>
            <w:shd w:val="clear" w:color="auto" w:fill="auto"/>
            <w:vAlign w:val="center"/>
            <w:hideMark/>
          </w:tcPr>
          <w:p w14:paraId="77F76A00" w14:textId="77777777" w:rsidR="004A17D0" w:rsidRPr="00661D75" w:rsidRDefault="004A17D0" w:rsidP="00420FAC">
            <w:pPr>
              <w:rPr>
                <w:iCs/>
                <w:lang w:val="en-KE" w:eastAsia="en-KE"/>
              </w:rPr>
            </w:pPr>
            <w:r w:rsidRPr="00661D75">
              <w:rPr>
                <w:iCs/>
                <w:lang w:val="en-US" w:eastAsia="en-KE"/>
              </w:rPr>
              <w:t>Height for Age -Z score</w:t>
            </w:r>
          </w:p>
        </w:tc>
      </w:tr>
      <w:tr w:rsidR="00420FAC" w:rsidRPr="00661D75" w14:paraId="1025FACE" w14:textId="77777777" w:rsidTr="004A17D0">
        <w:trPr>
          <w:trHeight w:val="330"/>
        </w:trPr>
        <w:tc>
          <w:tcPr>
            <w:tcW w:w="1520" w:type="dxa"/>
            <w:tcBorders>
              <w:top w:val="nil"/>
              <w:left w:val="nil"/>
              <w:bottom w:val="nil"/>
              <w:right w:val="nil"/>
            </w:tcBorders>
            <w:shd w:val="clear" w:color="auto" w:fill="auto"/>
            <w:vAlign w:val="center"/>
            <w:hideMark/>
          </w:tcPr>
          <w:p w14:paraId="4A01DCB7" w14:textId="77777777" w:rsidR="004A17D0" w:rsidRPr="00661D75" w:rsidRDefault="004A17D0" w:rsidP="00420FAC">
            <w:pPr>
              <w:rPr>
                <w:iCs/>
                <w:lang w:val="en-KE" w:eastAsia="en-KE"/>
              </w:rPr>
            </w:pPr>
            <w:r w:rsidRPr="00661D75">
              <w:rPr>
                <w:iCs/>
                <w:lang w:val="en-US" w:eastAsia="en-KE"/>
              </w:rPr>
              <w:t>HDD</w:t>
            </w:r>
          </w:p>
        </w:tc>
        <w:tc>
          <w:tcPr>
            <w:tcW w:w="5080" w:type="dxa"/>
            <w:tcBorders>
              <w:top w:val="nil"/>
              <w:left w:val="nil"/>
              <w:bottom w:val="nil"/>
              <w:right w:val="nil"/>
            </w:tcBorders>
            <w:shd w:val="clear" w:color="auto" w:fill="auto"/>
            <w:vAlign w:val="center"/>
            <w:hideMark/>
          </w:tcPr>
          <w:p w14:paraId="447D25F5" w14:textId="77777777" w:rsidR="004A17D0" w:rsidRPr="00661D75" w:rsidRDefault="004A17D0" w:rsidP="00420FAC">
            <w:pPr>
              <w:rPr>
                <w:iCs/>
                <w:lang w:val="en-KE" w:eastAsia="en-KE"/>
              </w:rPr>
            </w:pPr>
            <w:r w:rsidRPr="00661D75">
              <w:rPr>
                <w:iCs/>
                <w:lang w:val="en-US" w:eastAsia="en-KE"/>
              </w:rPr>
              <w:t>Household Dietary Diversity</w:t>
            </w:r>
          </w:p>
        </w:tc>
      </w:tr>
      <w:tr w:rsidR="00420FAC" w:rsidRPr="00661D75" w14:paraId="475E91C2" w14:textId="77777777" w:rsidTr="004A17D0">
        <w:trPr>
          <w:trHeight w:val="330"/>
        </w:trPr>
        <w:tc>
          <w:tcPr>
            <w:tcW w:w="1520" w:type="dxa"/>
            <w:tcBorders>
              <w:top w:val="nil"/>
              <w:left w:val="nil"/>
              <w:bottom w:val="nil"/>
              <w:right w:val="nil"/>
            </w:tcBorders>
            <w:shd w:val="clear" w:color="auto" w:fill="auto"/>
            <w:vAlign w:val="center"/>
            <w:hideMark/>
          </w:tcPr>
          <w:p w14:paraId="1C13594D" w14:textId="77777777" w:rsidR="004A17D0" w:rsidRPr="00661D75" w:rsidRDefault="004A17D0" w:rsidP="00420FAC">
            <w:pPr>
              <w:rPr>
                <w:iCs/>
                <w:lang w:val="en-KE" w:eastAsia="en-KE"/>
              </w:rPr>
            </w:pPr>
            <w:r w:rsidRPr="00661D75">
              <w:rPr>
                <w:iCs/>
                <w:lang w:val="en-US" w:eastAsia="en-KE"/>
              </w:rPr>
              <w:t>HH</w:t>
            </w:r>
          </w:p>
        </w:tc>
        <w:tc>
          <w:tcPr>
            <w:tcW w:w="5080" w:type="dxa"/>
            <w:tcBorders>
              <w:top w:val="nil"/>
              <w:left w:val="nil"/>
              <w:bottom w:val="nil"/>
              <w:right w:val="nil"/>
            </w:tcBorders>
            <w:shd w:val="clear" w:color="auto" w:fill="auto"/>
            <w:vAlign w:val="center"/>
            <w:hideMark/>
          </w:tcPr>
          <w:p w14:paraId="2D5595BF" w14:textId="77777777" w:rsidR="004A17D0" w:rsidRPr="00661D75" w:rsidRDefault="004A17D0" w:rsidP="00420FAC">
            <w:pPr>
              <w:rPr>
                <w:iCs/>
                <w:lang w:val="en-KE" w:eastAsia="en-KE"/>
              </w:rPr>
            </w:pPr>
            <w:r w:rsidRPr="00661D75">
              <w:rPr>
                <w:iCs/>
                <w:lang w:val="en-US" w:eastAsia="en-KE"/>
              </w:rPr>
              <w:t>Household</w:t>
            </w:r>
          </w:p>
        </w:tc>
      </w:tr>
      <w:tr w:rsidR="00420FAC" w:rsidRPr="00661D75" w14:paraId="04A227D3" w14:textId="77777777" w:rsidTr="004A17D0">
        <w:trPr>
          <w:trHeight w:val="330"/>
        </w:trPr>
        <w:tc>
          <w:tcPr>
            <w:tcW w:w="1520" w:type="dxa"/>
            <w:tcBorders>
              <w:top w:val="nil"/>
              <w:left w:val="nil"/>
              <w:bottom w:val="nil"/>
              <w:right w:val="nil"/>
            </w:tcBorders>
            <w:shd w:val="clear" w:color="auto" w:fill="auto"/>
            <w:vAlign w:val="center"/>
            <w:hideMark/>
          </w:tcPr>
          <w:p w14:paraId="120AA35C" w14:textId="77777777" w:rsidR="004A17D0" w:rsidRPr="00661D75" w:rsidRDefault="004A17D0" w:rsidP="00420FAC">
            <w:pPr>
              <w:rPr>
                <w:iCs/>
                <w:lang w:val="en-KE" w:eastAsia="en-KE"/>
              </w:rPr>
            </w:pPr>
            <w:r w:rsidRPr="00661D75">
              <w:rPr>
                <w:iCs/>
                <w:lang w:eastAsia="en-KE"/>
              </w:rPr>
              <w:t>HHS</w:t>
            </w:r>
          </w:p>
        </w:tc>
        <w:tc>
          <w:tcPr>
            <w:tcW w:w="5080" w:type="dxa"/>
            <w:tcBorders>
              <w:top w:val="nil"/>
              <w:left w:val="nil"/>
              <w:bottom w:val="nil"/>
              <w:right w:val="nil"/>
            </w:tcBorders>
            <w:shd w:val="clear" w:color="auto" w:fill="auto"/>
            <w:vAlign w:val="center"/>
            <w:hideMark/>
          </w:tcPr>
          <w:p w14:paraId="3D29B8C5" w14:textId="77777777" w:rsidR="004A17D0" w:rsidRPr="00661D75" w:rsidRDefault="004A17D0" w:rsidP="00420FAC">
            <w:pPr>
              <w:rPr>
                <w:iCs/>
                <w:lang w:val="en-KE" w:eastAsia="en-KE"/>
              </w:rPr>
            </w:pPr>
            <w:r w:rsidRPr="00661D75">
              <w:rPr>
                <w:iCs/>
                <w:lang w:eastAsia="en-KE"/>
              </w:rPr>
              <w:t>Household Hunger Scale</w:t>
            </w:r>
          </w:p>
        </w:tc>
      </w:tr>
      <w:tr w:rsidR="00420FAC" w:rsidRPr="00661D75" w14:paraId="05586676" w14:textId="77777777" w:rsidTr="004A17D0">
        <w:trPr>
          <w:trHeight w:val="330"/>
        </w:trPr>
        <w:tc>
          <w:tcPr>
            <w:tcW w:w="1520" w:type="dxa"/>
            <w:tcBorders>
              <w:top w:val="nil"/>
              <w:left w:val="nil"/>
              <w:bottom w:val="nil"/>
              <w:right w:val="nil"/>
            </w:tcBorders>
            <w:shd w:val="clear" w:color="auto" w:fill="auto"/>
            <w:vAlign w:val="center"/>
            <w:hideMark/>
          </w:tcPr>
          <w:p w14:paraId="5BDE7D5A" w14:textId="77777777" w:rsidR="004A17D0" w:rsidRPr="00661D75" w:rsidRDefault="004A17D0" w:rsidP="00420FAC">
            <w:pPr>
              <w:rPr>
                <w:iCs/>
                <w:lang w:val="en-KE" w:eastAsia="en-KE"/>
              </w:rPr>
            </w:pPr>
            <w:r w:rsidRPr="00661D75">
              <w:rPr>
                <w:iCs/>
                <w:lang w:val="en-US" w:eastAsia="en-KE"/>
              </w:rPr>
              <w:t>HSNP</w:t>
            </w:r>
          </w:p>
        </w:tc>
        <w:tc>
          <w:tcPr>
            <w:tcW w:w="5080" w:type="dxa"/>
            <w:tcBorders>
              <w:top w:val="nil"/>
              <w:left w:val="nil"/>
              <w:bottom w:val="nil"/>
              <w:right w:val="nil"/>
            </w:tcBorders>
            <w:shd w:val="clear" w:color="auto" w:fill="auto"/>
            <w:vAlign w:val="center"/>
            <w:hideMark/>
          </w:tcPr>
          <w:p w14:paraId="017BCC47" w14:textId="77777777" w:rsidR="004A17D0" w:rsidRPr="00661D75" w:rsidRDefault="004A17D0" w:rsidP="00420FAC">
            <w:pPr>
              <w:rPr>
                <w:iCs/>
                <w:lang w:val="en-KE" w:eastAsia="en-KE"/>
              </w:rPr>
            </w:pPr>
            <w:r w:rsidRPr="00661D75">
              <w:rPr>
                <w:iCs/>
                <w:lang w:val="en-US" w:eastAsia="en-KE"/>
              </w:rPr>
              <w:t>Hunger Safety Net Program</w:t>
            </w:r>
          </w:p>
        </w:tc>
      </w:tr>
      <w:tr w:rsidR="00420FAC" w:rsidRPr="00661D75" w14:paraId="1693DF6C" w14:textId="77777777" w:rsidTr="004A17D0">
        <w:trPr>
          <w:trHeight w:val="330"/>
        </w:trPr>
        <w:tc>
          <w:tcPr>
            <w:tcW w:w="1520" w:type="dxa"/>
            <w:tcBorders>
              <w:top w:val="nil"/>
              <w:left w:val="nil"/>
              <w:bottom w:val="nil"/>
              <w:right w:val="nil"/>
            </w:tcBorders>
            <w:shd w:val="clear" w:color="auto" w:fill="auto"/>
            <w:vAlign w:val="center"/>
            <w:hideMark/>
          </w:tcPr>
          <w:p w14:paraId="2B5F65DB" w14:textId="77777777" w:rsidR="004A17D0" w:rsidRPr="00661D75" w:rsidRDefault="004A17D0" w:rsidP="00420FAC">
            <w:pPr>
              <w:rPr>
                <w:iCs/>
                <w:lang w:val="en-KE" w:eastAsia="en-KE"/>
              </w:rPr>
            </w:pPr>
            <w:r w:rsidRPr="00661D75">
              <w:rPr>
                <w:iCs/>
                <w:lang w:val="en-US" w:eastAsia="en-KE"/>
              </w:rPr>
              <w:t>IDP</w:t>
            </w:r>
          </w:p>
        </w:tc>
        <w:tc>
          <w:tcPr>
            <w:tcW w:w="5080" w:type="dxa"/>
            <w:tcBorders>
              <w:top w:val="nil"/>
              <w:left w:val="nil"/>
              <w:bottom w:val="nil"/>
              <w:right w:val="nil"/>
            </w:tcBorders>
            <w:shd w:val="clear" w:color="auto" w:fill="auto"/>
            <w:vAlign w:val="center"/>
            <w:hideMark/>
          </w:tcPr>
          <w:p w14:paraId="05D34F3F" w14:textId="77777777" w:rsidR="004A17D0" w:rsidRPr="00661D75" w:rsidRDefault="004A17D0" w:rsidP="00420FAC">
            <w:pPr>
              <w:rPr>
                <w:iCs/>
                <w:lang w:val="en-KE" w:eastAsia="en-KE"/>
              </w:rPr>
            </w:pPr>
            <w:r w:rsidRPr="00661D75">
              <w:rPr>
                <w:iCs/>
                <w:lang w:val="en-US" w:eastAsia="en-KE"/>
              </w:rPr>
              <w:t>Internally Displace Persons</w:t>
            </w:r>
          </w:p>
        </w:tc>
      </w:tr>
      <w:tr w:rsidR="00420FAC" w:rsidRPr="00661D75" w14:paraId="4783C640" w14:textId="77777777" w:rsidTr="004A17D0">
        <w:trPr>
          <w:trHeight w:val="330"/>
        </w:trPr>
        <w:tc>
          <w:tcPr>
            <w:tcW w:w="1520" w:type="dxa"/>
            <w:tcBorders>
              <w:top w:val="nil"/>
              <w:left w:val="nil"/>
              <w:bottom w:val="nil"/>
              <w:right w:val="nil"/>
            </w:tcBorders>
            <w:shd w:val="clear" w:color="auto" w:fill="auto"/>
            <w:vAlign w:val="center"/>
            <w:hideMark/>
          </w:tcPr>
          <w:p w14:paraId="41EEDE8E" w14:textId="77777777" w:rsidR="004A17D0" w:rsidRPr="00661D75" w:rsidRDefault="004A17D0" w:rsidP="00420FAC">
            <w:pPr>
              <w:rPr>
                <w:iCs/>
                <w:lang w:val="en-KE" w:eastAsia="en-KE"/>
              </w:rPr>
            </w:pPr>
            <w:r w:rsidRPr="00661D75">
              <w:rPr>
                <w:iCs/>
                <w:lang w:val="en-US" w:eastAsia="en-KE"/>
              </w:rPr>
              <w:t>IFAS</w:t>
            </w:r>
          </w:p>
        </w:tc>
        <w:tc>
          <w:tcPr>
            <w:tcW w:w="5080" w:type="dxa"/>
            <w:tcBorders>
              <w:top w:val="nil"/>
              <w:left w:val="nil"/>
              <w:bottom w:val="nil"/>
              <w:right w:val="nil"/>
            </w:tcBorders>
            <w:shd w:val="clear" w:color="auto" w:fill="auto"/>
            <w:vAlign w:val="center"/>
            <w:hideMark/>
          </w:tcPr>
          <w:p w14:paraId="03DCC525" w14:textId="77777777" w:rsidR="004A17D0" w:rsidRPr="00661D75" w:rsidRDefault="004A17D0" w:rsidP="00420FAC">
            <w:pPr>
              <w:rPr>
                <w:iCs/>
                <w:lang w:val="en-KE" w:eastAsia="en-KE"/>
              </w:rPr>
            </w:pPr>
            <w:r w:rsidRPr="00661D75">
              <w:rPr>
                <w:iCs/>
                <w:lang w:val="en-US" w:eastAsia="en-KE"/>
              </w:rPr>
              <w:t>Iron and Folic Acid Supplements</w:t>
            </w:r>
          </w:p>
        </w:tc>
      </w:tr>
      <w:tr w:rsidR="00420FAC" w:rsidRPr="00661D75" w14:paraId="6F6C7908" w14:textId="77777777" w:rsidTr="004A17D0">
        <w:trPr>
          <w:trHeight w:val="330"/>
        </w:trPr>
        <w:tc>
          <w:tcPr>
            <w:tcW w:w="1520" w:type="dxa"/>
            <w:tcBorders>
              <w:top w:val="nil"/>
              <w:left w:val="nil"/>
              <w:bottom w:val="nil"/>
              <w:right w:val="nil"/>
            </w:tcBorders>
            <w:shd w:val="clear" w:color="auto" w:fill="auto"/>
            <w:vAlign w:val="center"/>
            <w:hideMark/>
          </w:tcPr>
          <w:p w14:paraId="25596CBA" w14:textId="77777777" w:rsidR="004A17D0" w:rsidRPr="00661D75" w:rsidRDefault="004A17D0" w:rsidP="00420FAC">
            <w:pPr>
              <w:rPr>
                <w:iCs/>
                <w:lang w:val="en-KE" w:eastAsia="en-KE"/>
              </w:rPr>
            </w:pPr>
            <w:r w:rsidRPr="00661D75">
              <w:rPr>
                <w:iCs/>
                <w:lang w:val="en-US" w:eastAsia="en-KE"/>
              </w:rPr>
              <w:t>IMAM</w:t>
            </w:r>
          </w:p>
        </w:tc>
        <w:tc>
          <w:tcPr>
            <w:tcW w:w="5080" w:type="dxa"/>
            <w:tcBorders>
              <w:top w:val="nil"/>
              <w:left w:val="nil"/>
              <w:bottom w:val="nil"/>
              <w:right w:val="nil"/>
            </w:tcBorders>
            <w:shd w:val="clear" w:color="auto" w:fill="auto"/>
            <w:vAlign w:val="center"/>
            <w:hideMark/>
          </w:tcPr>
          <w:p w14:paraId="72ACEF7D" w14:textId="77777777" w:rsidR="004A17D0" w:rsidRPr="00661D75" w:rsidRDefault="004A17D0" w:rsidP="00420FAC">
            <w:pPr>
              <w:rPr>
                <w:iCs/>
                <w:lang w:val="en-KE" w:eastAsia="en-KE"/>
              </w:rPr>
            </w:pPr>
            <w:r w:rsidRPr="00661D75">
              <w:rPr>
                <w:iCs/>
                <w:lang w:val="en-US" w:eastAsia="en-KE"/>
              </w:rPr>
              <w:t>Integrated Management of Acute Malnutrition</w:t>
            </w:r>
          </w:p>
        </w:tc>
      </w:tr>
      <w:tr w:rsidR="00420FAC" w:rsidRPr="00661D75" w14:paraId="728CBC07" w14:textId="77777777" w:rsidTr="004A17D0">
        <w:trPr>
          <w:trHeight w:val="330"/>
        </w:trPr>
        <w:tc>
          <w:tcPr>
            <w:tcW w:w="1520" w:type="dxa"/>
            <w:tcBorders>
              <w:top w:val="nil"/>
              <w:left w:val="nil"/>
              <w:bottom w:val="nil"/>
              <w:right w:val="nil"/>
            </w:tcBorders>
            <w:shd w:val="clear" w:color="auto" w:fill="auto"/>
            <w:vAlign w:val="center"/>
            <w:hideMark/>
          </w:tcPr>
          <w:p w14:paraId="2F6C1407" w14:textId="77777777" w:rsidR="004A17D0" w:rsidRPr="00661D75" w:rsidRDefault="004A17D0" w:rsidP="00420FAC">
            <w:pPr>
              <w:rPr>
                <w:iCs/>
                <w:lang w:val="en-KE" w:eastAsia="en-KE"/>
              </w:rPr>
            </w:pPr>
            <w:r w:rsidRPr="00661D75">
              <w:rPr>
                <w:iCs/>
                <w:lang w:val="en-US" w:eastAsia="en-KE"/>
              </w:rPr>
              <w:t>IPC</w:t>
            </w:r>
          </w:p>
        </w:tc>
        <w:tc>
          <w:tcPr>
            <w:tcW w:w="5080" w:type="dxa"/>
            <w:tcBorders>
              <w:top w:val="nil"/>
              <w:left w:val="nil"/>
              <w:bottom w:val="nil"/>
              <w:right w:val="nil"/>
            </w:tcBorders>
            <w:shd w:val="clear" w:color="auto" w:fill="auto"/>
            <w:vAlign w:val="center"/>
            <w:hideMark/>
          </w:tcPr>
          <w:p w14:paraId="60492E94" w14:textId="77777777" w:rsidR="004A17D0" w:rsidRPr="00661D75" w:rsidRDefault="004A17D0" w:rsidP="00420FAC">
            <w:pPr>
              <w:rPr>
                <w:iCs/>
                <w:lang w:val="en-KE" w:eastAsia="en-KE"/>
              </w:rPr>
            </w:pPr>
            <w:r w:rsidRPr="00661D75">
              <w:rPr>
                <w:iCs/>
                <w:lang w:val="en-US" w:eastAsia="en-KE"/>
              </w:rPr>
              <w:t>Integrated Food Security Phase Classification</w:t>
            </w:r>
          </w:p>
        </w:tc>
      </w:tr>
      <w:tr w:rsidR="00420FAC" w:rsidRPr="00661D75" w14:paraId="4C8F533D" w14:textId="77777777" w:rsidTr="004A17D0">
        <w:trPr>
          <w:trHeight w:val="330"/>
        </w:trPr>
        <w:tc>
          <w:tcPr>
            <w:tcW w:w="1520" w:type="dxa"/>
            <w:tcBorders>
              <w:top w:val="nil"/>
              <w:left w:val="nil"/>
              <w:bottom w:val="nil"/>
              <w:right w:val="nil"/>
            </w:tcBorders>
            <w:shd w:val="clear" w:color="auto" w:fill="auto"/>
            <w:vAlign w:val="center"/>
            <w:hideMark/>
          </w:tcPr>
          <w:p w14:paraId="1C1657B3" w14:textId="77777777" w:rsidR="004A17D0" w:rsidRPr="00661D75" w:rsidRDefault="004A17D0" w:rsidP="00420FAC">
            <w:pPr>
              <w:rPr>
                <w:iCs/>
                <w:lang w:val="en-KE" w:eastAsia="en-KE"/>
              </w:rPr>
            </w:pPr>
            <w:r w:rsidRPr="00661D75">
              <w:rPr>
                <w:iCs/>
                <w:lang w:eastAsia="en-KE"/>
              </w:rPr>
              <w:t>IYCF</w:t>
            </w:r>
          </w:p>
        </w:tc>
        <w:tc>
          <w:tcPr>
            <w:tcW w:w="5080" w:type="dxa"/>
            <w:tcBorders>
              <w:top w:val="nil"/>
              <w:left w:val="nil"/>
              <w:bottom w:val="nil"/>
              <w:right w:val="nil"/>
            </w:tcBorders>
            <w:shd w:val="clear" w:color="auto" w:fill="auto"/>
            <w:vAlign w:val="center"/>
            <w:hideMark/>
          </w:tcPr>
          <w:p w14:paraId="202F2AF2" w14:textId="77777777" w:rsidR="004A17D0" w:rsidRPr="00661D75" w:rsidRDefault="004A17D0" w:rsidP="00420FAC">
            <w:pPr>
              <w:rPr>
                <w:iCs/>
                <w:lang w:val="en-KE" w:eastAsia="en-KE"/>
              </w:rPr>
            </w:pPr>
            <w:r w:rsidRPr="00661D75">
              <w:rPr>
                <w:iCs/>
                <w:lang w:eastAsia="en-KE"/>
              </w:rPr>
              <w:t>Infant and Young Child Feeding</w:t>
            </w:r>
          </w:p>
        </w:tc>
      </w:tr>
      <w:tr w:rsidR="00420FAC" w:rsidRPr="00661D75" w14:paraId="29139082" w14:textId="77777777" w:rsidTr="004A17D0">
        <w:trPr>
          <w:trHeight w:val="330"/>
        </w:trPr>
        <w:tc>
          <w:tcPr>
            <w:tcW w:w="1520" w:type="dxa"/>
            <w:tcBorders>
              <w:top w:val="nil"/>
              <w:left w:val="nil"/>
              <w:bottom w:val="nil"/>
              <w:right w:val="nil"/>
            </w:tcBorders>
            <w:shd w:val="clear" w:color="auto" w:fill="auto"/>
            <w:vAlign w:val="center"/>
            <w:hideMark/>
          </w:tcPr>
          <w:p w14:paraId="31793662" w14:textId="77777777" w:rsidR="004A17D0" w:rsidRPr="00661D75" w:rsidRDefault="004A17D0" w:rsidP="00420FAC">
            <w:pPr>
              <w:rPr>
                <w:iCs/>
                <w:lang w:val="en-KE" w:eastAsia="en-KE"/>
              </w:rPr>
            </w:pPr>
            <w:r w:rsidRPr="00661D75">
              <w:rPr>
                <w:iCs/>
                <w:lang w:val="en-US" w:eastAsia="en-KE"/>
              </w:rPr>
              <w:t>KEMSA</w:t>
            </w:r>
          </w:p>
        </w:tc>
        <w:tc>
          <w:tcPr>
            <w:tcW w:w="5080" w:type="dxa"/>
            <w:tcBorders>
              <w:top w:val="nil"/>
              <w:left w:val="nil"/>
              <w:bottom w:val="nil"/>
              <w:right w:val="nil"/>
            </w:tcBorders>
            <w:shd w:val="clear" w:color="auto" w:fill="auto"/>
            <w:vAlign w:val="center"/>
            <w:hideMark/>
          </w:tcPr>
          <w:p w14:paraId="122824AC" w14:textId="77777777" w:rsidR="004A17D0" w:rsidRPr="00661D75" w:rsidRDefault="004A17D0" w:rsidP="00420FAC">
            <w:pPr>
              <w:rPr>
                <w:iCs/>
                <w:lang w:val="en-KE" w:eastAsia="en-KE"/>
              </w:rPr>
            </w:pPr>
            <w:r w:rsidRPr="00661D75">
              <w:rPr>
                <w:iCs/>
                <w:lang w:val="en-US" w:eastAsia="en-KE"/>
              </w:rPr>
              <w:t>Kenya Medical Supplies Agency</w:t>
            </w:r>
          </w:p>
        </w:tc>
      </w:tr>
      <w:tr w:rsidR="00420FAC" w:rsidRPr="00661D75" w14:paraId="36EF9AB9" w14:textId="77777777" w:rsidTr="004A17D0">
        <w:trPr>
          <w:trHeight w:val="330"/>
        </w:trPr>
        <w:tc>
          <w:tcPr>
            <w:tcW w:w="1520" w:type="dxa"/>
            <w:tcBorders>
              <w:top w:val="nil"/>
              <w:left w:val="nil"/>
              <w:bottom w:val="nil"/>
              <w:right w:val="nil"/>
            </w:tcBorders>
            <w:shd w:val="clear" w:color="auto" w:fill="auto"/>
            <w:vAlign w:val="center"/>
            <w:hideMark/>
          </w:tcPr>
          <w:p w14:paraId="3288A8F4" w14:textId="77777777" w:rsidR="004A17D0" w:rsidRPr="00661D75" w:rsidRDefault="004A17D0" w:rsidP="00420FAC">
            <w:pPr>
              <w:rPr>
                <w:iCs/>
                <w:lang w:val="en-KE" w:eastAsia="en-KE"/>
              </w:rPr>
            </w:pPr>
            <w:r w:rsidRPr="00661D75">
              <w:rPr>
                <w:iCs/>
                <w:lang w:val="en-US" w:eastAsia="en-KE"/>
              </w:rPr>
              <w:t>KFSSG</w:t>
            </w:r>
          </w:p>
        </w:tc>
        <w:tc>
          <w:tcPr>
            <w:tcW w:w="5080" w:type="dxa"/>
            <w:tcBorders>
              <w:top w:val="nil"/>
              <w:left w:val="nil"/>
              <w:bottom w:val="nil"/>
              <w:right w:val="nil"/>
            </w:tcBorders>
            <w:shd w:val="clear" w:color="auto" w:fill="auto"/>
            <w:vAlign w:val="center"/>
            <w:hideMark/>
          </w:tcPr>
          <w:p w14:paraId="3FC65675" w14:textId="77777777" w:rsidR="004A17D0" w:rsidRPr="00661D75" w:rsidRDefault="004A17D0" w:rsidP="00420FAC">
            <w:pPr>
              <w:rPr>
                <w:iCs/>
                <w:lang w:val="en-KE" w:eastAsia="en-KE"/>
              </w:rPr>
            </w:pPr>
            <w:r w:rsidRPr="00661D75">
              <w:rPr>
                <w:iCs/>
                <w:lang w:val="en-US" w:eastAsia="en-KE"/>
              </w:rPr>
              <w:t>Kenya Food Security Steering Group</w:t>
            </w:r>
          </w:p>
        </w:tc>
      </w:tr>
      <w:tr w:rsidR="00420FAC" w:rsidRPr="00661D75" w14:paraId="6F4C9E1C" w14:textId="77777777" w:rsidTr="004A17D0">
        <w:trPr>
          <w:trHeight w:val="330"/>
        </w:trPr>
        <w:tc>
          <w:tcPr>
            <w:tcW w:w="1520" w:type="dxa"/>
            <w:tcBorders>
              <w:top w:val="nil"/>
              <w:left w:val="nil"/>
              <w:bottom w:val="nil"/>
              <w:right w:val="nil"/>
            </w:tcBorders>
            <w:shd w:val="clear" w:color="auto" w:fill="auto"/>
            <w:vAlign w:val="center"/>
            <w:hideMark/>
          </w:tcPr>
          <w:p w14:paraId="210F8B58" w14:textId="77777777" w:rsidR="004A17D0" w:rsidRPr="00661D75" w:rsidRDefault="004A17D0" w:rsidP="00420FAC">
            <w:pPr>
              <w:rPr>
                <w:iCs/>
                <w:lang w:val="en-KE" w:eastAsia="en-KE"/>
              </w:rPr>
            </w:pPr>
            <w:r w:rsidRPr="00661D75">
              <w:rPr>
                <w:iCs/>
                <w:lang w:val="en-US" w:eastAsia="en-KE"/>
              </w:rPr>
              <w:t>KHIS</w:t>
            </w:r>
          </w:p>
        </w:tc>
        <w:tc>
          <w:tcPr>
            <w:tcW w:w="5080" w:type="dxa"/>
            <w:tcBorders>
              <w:top w:val="nil"/>
              <w:left w:val="nil"/>
              <w:bottom w:val="nil"/>
              <w:right w:val="nil"/>
            </w:tcBorders>
            <w:shd w:val="clear" w:color="auto" w:fill="auto"/>
            <w:vAlign w:val="center"/>
            <w:hideMark/>
          </w:tcPr>
          <w:p w14:paraId="6C61642A" w14:textId="77777777" w:rsidR="004A17D0" w:rsidRPr="00661D75" w:rsidRDefault="004A17D0" w:rsidP="00420FAC">
            <w:pPr>
              <w:rPr>
                <w:iCs/>
                <w:lang w:val="en-KE" w:eastAsia="en-KE"/>
              </w:rPr>
            </w:pPr>
            <w:r w:rsidRPr="00661D75">
              <w:rPr>
                <w:iCs/>
                <w:lang w:val="en-US" w:eastAsia="en-KE"/>
              </w:rPr>
              <w:t>Kenya Health Information System</w:t>
            </w:r>
          </w:p>
        </w:tc>
      </w:tr>
      <w:tr w:rsidR="00420FAC" w:rsidRPr="00661D75" w14:paraId="086E2F05" w14:textId="77777777" w:rsidTr="004A17D0">
        <w:trPr>
          <w:trHeight w:val="330"/>
        </w:trPr>
        <w:tc>
          <w:tcPr>
            <w:tcW w:w="1520" w:type="dxa"/>
            <w:tcBorders>
              <w:top w:val="nil"/>
              <w:left w:val="nil"/>
              <w:bottom w:val="nil"/>
              <w:right w:val="nil"/>
            </w:tcBorders>
            <w:shd w:val="clear" w:color="auto" w:fill="auto"/>
            <w:vAlign w:val="center"/>
            <w:hideMark/>
          </w:tcPr>
          <w:p w14:paraId="695A85F1" w14:textId="77777777" w:rsidR="004A17D0" w:rsidRPr="00661D75" w:rsidRDefault="004A17D0" w:rsidP="00420FAC">
            <w:pPr>
              <w:rPr>
                <w:iCs/>
                <w:lang w:val="en-KE" w:eastAsia="en-KE"/>
              </w:rPr>
            </w:pPr>
            <w:r w:rsidRPr="00661D75">
              <w:rPr>
                <w:iCs/>
                <w:lang w:val="en-US" w:eastAsia="en-KE"/>
              </w:rPr>
              <w:t>KNBS</w:t>
            </w:r>
          </w:p>
        </w:tc>
        <w:tc>
          <w:tcPr>
            <w:tcW w:w="5080" w:type="dxa"/>
            <w:tcBorders>
              <w:top w:val="nil"/>
              <w:left w:val="nil"/>
              <w:bottom w:val="nil"/>
              <w:right w:val="nil"/>
            </w:tcBorders>
            <w:shd w:val="clear" w:color="auto" w:fill="auto"/>
            <w:vAlign w:val="center"/>
            <w:hideMark/>
          </w:tcPr>
          <w:p w14:paraId="50D14C6F" w14:textId="77777777" w:rsidR="004A17D0" w:rsidRPr="00661D75" w:rsidRDefault="004A17D0" w:rsidP="00420FAC">
            <w:pPr>
              <w:rPr>
                <w:iCs/>
                <w:lang w:val="en-KE" w:eastAsia="en-KE"/>
              </w:rPr>
            </w:pPr>
            <w:r w:rsidRPr="00661D75">
              <w:rPr>
                <w:iCs/>
                <w:lang w:val="en-US" w:eastAsia="en-KE"/>
              </w:rPr>
              <w:t>Kenya National Bureau of statistics</w:t>
            </w:r>
          </w:p>
        </w:tc>
      </w:tr>
      <w:tr w:rsidR="00420FAC" w:rsidRPr="00661D75" w14:paraId="53BE1243" w14:textId="77777777" w:rsidTr="004A17D0">
        <w:trPr>
          <w:trHeight w:val="330"/>
        </w:trPr>
        <w:tc>
          <w:tcPr>
            <w:tcW w:w="1520" w:type="dxa"/>
            <w:tcBorders>
              <w:top w:val="nil"/>
              <w:left w:val="nil"/>
              <w:bottom w:val="nil"/>
              <w:right w:val="nil"/>
            </w:tcBorders>
            <w:shd w:val="clear" w:color="auto" w:fill="auto"/>
            <w:vAlign w:val="center"/>
            <w:hideMark/>
          </w:tcPr>
          <w:p w14:paraId="060E8D7D" w14:textId="77777777" w:rsidR="004A17D0" w:rsidRPr="00661D75" w:rsidRDefault="004A17D0" w:rsidP="00420FAC">
            <w:pPr>
              <w:rPr>
                <w:iCs/>
                <w:lang w:val="en-KE" w:eastAsia="en-KE"/>
              </w:rPr>
            </w:pPr>
            <w:r w:rsidRPr="00661D75">
              <w:rPr>
                <w:iCs/>
                <w:lang w:val="en-US" w:eastAsia="en-KE"/>
              </w:rPr>
              <w:t>KRCS</w:t>
            </w:r>
          </w:p>
        </w:tc>
        <w:tc>
          <w:tcPr>
            <w:tcW w:w="5080" w:type="dxa"/>
            <w:tcBorders>
              <w:top w:val="nil"/>
              <w:left w:val="nil"/>
              <w:bottom w:val="nil"/>
              <w:right w:val="nil"/>
            </w:tcBorders>
            <w:shd w:val="clear" w:color="auto" w:fill="auto"/>
            <w:vAlign w:val="center"/>
            <w:hideMark/>
          </w:tcPr>
          <w:p w14:paraId="7756B080" w14:textId="77777777" w:rsidR="004A17D0" w:rsidRPr="00661D75" w:rsidRDefault="004A17D0" w:rsidP="00420FAC">
            <w:pPr>
              <w:rPr>
                <w:iCs/>
                <w:lang w:val="en-KE" w:eastAsia="en-KE"/>
              </w:rPr>
            </w:pPr>
            <w:r w:rsidRPr="00661D75">
              <w:rPr>
                <w:iCs/>
                <w:lang w:val="en-US" w:eastAsia="en-KE"/>
              </w:rPr>
              <w:t>Kenya Red Cross Society</w:t>
            </w:r>
          </w:p>
        </w:tc>
      </w:tr>
      <w:tr w:rsidR="00420FAC" w:rsidRPr="00661D75" w14:paraId="0A06DD5A" w14:textId="77777777" w:rsidTr="004A17D0">
        <w:trPr>
          <w:trHeight w:val="330"/>
        </w:trPr>
        <w:tc>
          <w:tcPr>
            <w:tcW w:w="1520" w:type="dxa"/>
            <w:tcBorders>
              <w:top w:val="nil"/>
              <w:left w:val="nil"/>
              <w:bottom w:val="nil"/>
              <w:right w:val="nil"/>
            </w:tcBorders>
            <w:shd w:val="clear" w:color="auto" w:fill="auto"/>
            <w:vAlign w:val="center"/>
            <w:hideMark/>
          </w:tcPr>
          <w:p w14:paraId="3DCF869B" w14:textId="77777777" w:rsidR="004A17D0" w:rsidRPr="00661D75" w:rsidRDefault="004A17D0" w:rsidP="00420FAC">
            <w:pPr>
              <w:rPr>
                <w:iCs/>
                <w:lang w:val="en-KE" w:eastAsia="en-KE"/>
              </w:rPr>
            </w:pPr>
            <w:r w:rsidRPr="00661D75">
              <w:rPr>
                <w:iCs/>
                <w:lang w:val="en-US" w:eastAsia="en-KE"/>
              </w:rPr>
              <w:t>LMIS</w:t>
            </w:r>
          </w:p>
        </w:tc>
        <w:tc>
          <w:tcPr>
            <w:tcW w:w="5080" w:type="dxa"/>
            <w:tcBorders>
              <w:top w:val="nil"/>
              <w:left w:val="nil"/>
              <w:bottom w:val="nil"/>
              <w:right w:val="nil"/>
            </w:tcBorders>
            <w:shd w:val="clear" w:color="auto" w:fill="auto"/>
            <w:vAlign w:val="center"/>
            <w:hideMark/>
          </w:tcPr>
          <w:p w14:paraId="5D6BC239" w14:textId="77777777" w:rsidR="004A17D0" w:rsidRPr="00661D75" w:rsidRDefault="004A17D0" w:rsidP="00420FAC">
            <w:pPr>
              <w:rPr>
                <w:iCs/>
                <w:lang w:val="en-KE" w:eastAsia="en-KE"/>
              </w:rPr>
            </w:pPr>
            <w:r w:rsidRPr="00661D75">
              <w:rPr>
                <w:iCs/>
                <w:lang w:val="en-US" w:eastAsia="en-KE"/>
              </w:rPr>
              <w:t>Logistics Management Information System</w:t>
            </w:r>
          </w:p>
        </w:tc>
      </w:tr>
      <w:tr w:rsidR="00420FAC" w:rsidRPr="00661D75" w14:paraId="2ECBF117" w14:textId="77777777" w:rsidTr="004A17D0">
        <w:trPr>
          <w:trHeight w:val="330"/>
        </w:trPr>
        <w:tc>
          <w:tcPr>
            <w:tcW w:w="1520" w:type="dxa"/>
            <w:tcBorders>
              <w:top w:val="nil"/>
              <w:left w:val="nil"/>
              <w:bottom w:val="nil"/>
              <w:right w:val="nil"/>
            </w:tcBorders>
            <w:shd w:val="clear" w:color="auto" w:fill="auto"/>
            <w:vAlign w:val="center"/>
            <w:hideMark/>
          </w:tcPr>
          <w:p w14:paraId="4466749A" w14:textId="77777777" w:rsidR="004A17D0" w:rsidRPr="00661D75" w:rsidRDefault="004A17D0" w:rsidP="00420FAC">
            <w:pPr>
              <w:rPr>
                <w:iCs/>
                <w:lang w:val="en-KE" w:eastAsia="en-KE"/>
              </w:rPr>
            </w:pPr>
            <w:r w:rsidRPr="00661D75">
              <w:rPr>
                <w:iCs/>
                <w:lang w:eastAsia="en-KE"/>
              </w:rPr>
              <w:t>LPPPD</w:t>
            </w:r>
          </w:p>
        </w:tc>
        <w:tc>
          <w:tcPr>
            <w:tcW w:w="5080" w:type="dxa"/>
            <w:tcBorders>
              <w:top w:val="nil"/>
              <w:left w:val="nil"/>
              <w:bottom w:val="nil"/>
              <w:right w:val="nil"/>
            </w:tcBorders>
            <w:shd w:val="clear" w:color="auto" w:fill="auto"/>
            <w:vAlign w:val="center"/>
            <w:hideMark/>
          </w:tcPr>
          <w:p w14:paraId="2994068C" w14:textId="77777777" w:rsidR="004A17D0" w:rsidRPr="00661D75" w:rsidRDefault="004A17D0" w:rsidP="00420FAC">
            <w:pPr>
              <w:rPr>
                <w:iCs/>
                <w:lang w:val="en-KE" w:eastAsia="en-KE"/>
              </w:rPr>
            </w:pPr>
            <w:r w:rsidRPr="00661D75">
              <w:rPr>
                <w:iCs/>
                <w:lang w:eastAsia="en-KE"/>
              </w:rPr>
              <w:t>Litres Per Person Per Day</w:t>
            </w:r>
          </w:p>
        </w:tc>
      </w:tr>
      <w:tr w:rsidR="00420FAC" w:rsidRPr="00661D75" w14:paraId="38C08172" w14:textId="77777777" w:rsidTr="004A17D0">
        <w:trPr>
          <w:trHeight w:val="330"/>
        </w:trPr>
        <w:tc>
          <w:tcPr>
            <w:tcW w:w="1520" w:type="dxa"/>
            <w:tcBorders>
              <w:top w:val="nil"/>
              <w:left w:val="nil"/>
              <w:bottom w:val="nil"/>
              <w:right w:val="nil"/>
            </w:tcBorders>
            <w:shd w:val="clear" w:color="auto" w:fill="auto"/>
            <w:vAlign w:val="center"/>
            <w:hideMark/>
          </w:tcPr>
          <w:p w14:paraId="60ECDD17" w14:textId="77777777" w:rsidR="004A17D0" w:rsidRPr="00661D75" w:rsidRDefault="004A17D0" w:rsidP="00420FAC">
            <w:pPr>
              <w:rPr>
                <w:iCs/>
                <w:lang w:val="en-KE" w:eastAsia="en-KE"/>
              </w:rPr>
            </w:pPr>
            <w:r w:rsidRPr="00661D75">
              <w:rPr>
                <w:iCs/>
                <w:lang w:val="en-US" w:eastAsia="en-KE"/>
              </w:rPr>
              <w:t>LRA</w:t>
            </w:r>
          </w:p>
        </w:tc>
        <w:tc>
          <w:tcPr>
            <w:tcW w:w="5080" w:type="dxa"/>
            <w:tcBorders>
              <w:top w:val="nil"/>
              <w:left w:val="nil"/>
              <w:bottom w:val="nil"/>
              <w:right w:val="nil"/>
            </w:tcBorders>
            <w:shd w:val="clear" w:color="auto" w:fill="auto"/>
            <w:vAlign w:val="center"/>
            <w:hideMark/>
          </w:tcPr>
          <w:p w14:paraId="79EA9E1C" w14:textId="77777777" w:rsidR="004A17D0" w:rsidRPr="00661D75" w:rsidRDefault="004A17D0" w:rsidP="00420FAC">
            <w:pPr>
              <w:rPr>
                <w:iCs/>
                <w:lang w:val="en-KE" w:eastAsia="en-KE"/>
              </w:rPr>
            </w:pPr>
            <w:r w:rsidRPr="00661D75">
              <w:rPr>
                <w:iCs/>
                <w:lang w:val="en-US" w:eastAsia="en-KE"/>
              </w:rPr>
              <w:t>Long Rains Assessment</w:t>
            </w:r>
          </w:p>
        </w:tc>
      </w:tr>
      <w:tr w:rsidR="00420FAC" w:rsidRPr="00661D75" w14:paraId="7D29C151" w14:textId="77777777" w:rsidTr="004A17D0">
        <w:trPr>
          <w:trHeight w:val="330"/>
        </w:trPr>
        <w:tc>
          <w:tcPr>
            <w:tcW w:w="1520" w:type="dxa"/>
            <w:tcBorders>
              <w:top w:val="nil"/>
              <w:left w:val="nil"/>
              <w:bottom w:val="nil"/>
              <w:right w:val="nil"/>
            </w:tcBorders>
            <w:shd w:val="clear" w:color="auto" w:fill="auto"/>
            <w:vAlign w:val="center"/>
            <w:hideMark/>
          </w:tcPr>
          <w:p w14:paraId="4C32D432" w14:textId="77777777" w:rsidR="004A17D0" w:rsidRPr="00661D75" w:rsidRDefault="004A17D0" w:rsidP="00420FAC">
            <w:pPr>
              <w:rPr>
                <w:iCs/>
                <w:lang w:val="en-KE" w:eastAsia="en-KE"/>
              </w:rPr>
            </w:pPr>
            <w:r w:rsidRPr="00661D75">
              <w:rPr>
                <w:iCs/>
                <w:lang w:val="en-US" w:eastAsia="en-KE"/>
              </w:rPr>
              <w:t>MAM</w:t>
            </w:r>
          </w:p>
        </w:tc>
        <w:tc>
          <w:tcPr>
            <w:tcW w:w="5080" w:type="dxa"/>
            <w:tcBorders>
              <w:top w:val="nil"/>
              <w:left w:val="nil"/>
              <w:bottom w:val="nil"/>
              <w:right w:val="nil"/>
            </w:tcBorders>
            <w:shd w:val="clear" w:color="auto" w:fill="auto"/>
            <w:vAlign w:val="center"/>
            <w:hideMark/>
          </w:tcPr>
          <w:p w14:paraId="55035D93" w14:textId="77777777" w:rsidR="004A17D0" w:rsidRPr="00661D75" w:rsidRDefault="004A17D0" w:rsidP="00420FAC">
            <w:pPr>
              <w:rPr>
                <w:iCs/>
                <w:lang w:val="en-KE" w:eastAsia="en-KE"/>
              </w:rPr>
            </w:pPr>
            <w:r w:rsidRPr="00661D75">
              <w:rPr>
                <w:iCs/>
                <w:lang w:val="en-US" w:eastAsia="en-KE"/>
              </w:rPr>
              <w:t>Moderate Acute malnutrition</w:t>
            </w:r>
          </w:p>
        </w:tc>
      </w:tr>
      <w:tr w:rsidR="00420FAC" w:rsidRPr="00661D75" w14:paraId="05EE3D02" w14:textId="77777777" w:rsidTr="004A17D0">
        <w:trPr>
          <w:trHeight w:val="330"/>
        </w:trPr>
        <w:tc>
          <w:tcPr>
            <w:tcW w:w="1520" w:type="dxa"/>
            <w:tcBorders>
              <w:top w:val="nil"/>
              <w:left w:val="nil"/>
              <w:bottom w:val="nil"/>
              <w:right w:val="nil"/>
            </w:tcBorders>
            <w:shd w:val="clear" w:color="auto" w:fill="auto"/>
            <w:vAlign w:val="center"/>
            <w:hideMark/>
          </w:tcPr>
          <w:p w14:paraId="45EA365D" w14:textId="77777777" w:rsidR="004A17D0" w:rsidRPr="00661D75" w:rsidRDefault="004A17D0" w:rsidP="00420FAC">
            <w:pPr>
              <w:rPr>
                <w:iCs/>
                <w:lang w:val="en-KE" w:eastAsia="en-KE"/>
              </w:rPr>
            </w:pPr>
            <w:r w:rsidRPr="00661D75">
              <w:rPr>
                <w:iCs/>
                <w:lang w:val="en-US" w:eastAsia="en-KE"/>
              </w:rPr>
              <w:t>MCH</w:t>
            </w:r>
          </w:p>
        </w:tc>
        <w:tc>
          <w:tcPr>
            <w:tcW w:w="5080" w:type="dxa"/>
            <w:tcBorders>
              <w:top w:val="nil"/>
              <w:left w:val="nil"/>
              <w:bottom w:val="nil"/>
              <w:right w:val="nil"/>
            </w:tcBorders>
            <w:shd w:val="clear" w:color="auto" w:fill="auto"/>
            <w:vAlign w:val="center"/>
            <w:hideMark/>
          </w:tcPr>
          <w:p w14:paraId="45346407" w14:textId="77777777" w:rsidR="004A17D0" w:rsidRPr="00661D75" w:rsidRDefault="004A17D0" w:rsidP="00420FAC">
            <w:pPr>
              <w:rPr>
                <w:iCs/>
                <w:lang w:val="en-KE" w:eastAsia="en-KE"/>
              </w:rPr>
            </w:pPr>
            <w:r w:rsidRPr="00661D75">
              <w:rPr>
                <w:iCs/>
                <w:lang w:val="en-US" w:eastAsia="en-KE"/>
              </w:rPr>
              <w:t>Mother Child Booklet</w:t>
            </w:r>
          </w:p>
        </w:tc>
      </w:tr>
      <w:tr w:rsidR="00420FAC" w:rsidRPr="00661D75" w14:paraId="3BA5E69D" w14:textId="77777777" w:rsidTr="004A17D0">
        <w:trPr>
          <w:trHeight w:val="330"/>
        </w:trPr>
        <w:tc>
          <w:tcPr>
            <w:tcW w:w="1520" w:type="dxa"/>
            <w:tcBorders>
              <w:top w:val="nil"/>
              <w:left w:val="nil"/>
              <w:bottom w:val="nil"/>
              <w:right w:val="nil"/>
            </w:tcBorders>
            <w:shd w:val="clear" w:color="auto" w:fill="auto"/>
            <w:vAlign w:val="center"/>
            <w:hideMark/>
          </w:tcPr>
          <w:p w14:paraId="1FA72EC0" w14:textId="77777777" w:rsidR="004A17D0" w:rsidRPr="00661D75" w:rsidRDefault="004A17D0" w:rsidP="00420FAC">
            <w:pPr>
              <w:rPr>
                <w:iCs/>
                <w:lang w:val="en-KE" w:eastAsia="en-KE"/>
              </w:rPr>
            </w:pPr>
            <w:r w:rsidRPr="00661D75">
              <w:rPr>
                <w:iCs/>
                <w:lang w:val="en-US" w:eastAsia="en-KE"/>
              </w:rPr>
              <w:t>MDD</w:t>
            </w:r>
          </w:p>
        </w:tc>
        <w:tc>
          <w:tcPr>
            <w:tcW w:w="5080" w:type="dxa"/>
            <w:tcBorders>
              <w:top w:val="nil"/>
              <w:left w:val="nil"/>
              <w:bottom w:val="nil"/>
              <w:right w:val="nil"/>
            </w:tcBorders>
            <w:shd w:val="clear" w:color="auto" w:fill="auto"/>
            <w:vAlign w:val="center"/>
            <w:hideMark/>
          </w:tcPr>
          <w:p w14:paraId="6BB937FD" w14:textId="77777777" w:rsidR="004A17D0" w:rsidRPr="00661D75" w:rsidRDefault="004A17D0" w:rsidP="00420FAC">
            <w:pPr>
              <w:rPr>
                <w:iCs/>
                <w:lang w:val="en-KE" w:eastAsia="en-KE"/>
              </w:rPr>
            </w:pPr>
            <w:r w:rsidRPr="00661D75">
              <w:rPr>
                <w:iCs/>
                <w:lang w:val="en-US" w:eastAsia="en-KE"/>
              </w:rPr>
              <w:t>Minimum Dietary Diversity</w:t>
            </w:r>
          </w:p>
        </w:tc>
      </w:tr>
      <w:tr w:rsidR="00420FAC" w:rsidRPr="00661D75" w14:paraId="7E8D0B1C" w14:textId="77777777" w:rsidTr="004A17D0">
        <w:trPr>
          <w:trHeight w:val="330"/>
        </w:trPr>
        <w:tc>
          <w:tcPr>
            <w:tcW w:w="1520" w:type="dxa"/>
            <w:tcBorders>
              <w:top w:val="nil"/>
              <w:left w:val="nil"/>
              <w:bottom w:val="nil"/>
              <w:right w:val="nil"/>
            </w:tcBorders>
            <w:shd w:val="clear" w:color="auto" w:fill="auto"/>
            <w:vAlign w:val="center"/>
            <w:hideMark/>
          </w:tcPr>
          <w:p w14:paraId="668CD8B2" w14:textId="77777777" w:rsidR="004A17D0" w:rsidRPr="00661D75" w:rsidRDefault="004A17D0" w:rsidP="00420FAC">
            <w:pPr>
              <w:rPr>
                <w:iCs/>
                <w:lang w:val="en-KE" w:eastAsia="en-KE"/>
              </w:rPr>
            </w:pPr>
            <w:r w:rsidRPr="00661D75">
              <w:rPr>
                <w:iCs/>
                <w:lang w:val="en-US" w:eastAsia="en-KE"/>
              </w:rPr>
              <w:lastRenderedPageBreak/>
              <w:t>MDD-W</w:t>
            </w:r>
          </w:p>
        </w:tc>
        <w:tc>
          <w:tcPr>
            <w:tcW w:w="5080" w:type="dxa"/>
            <w:tcBorders>
              <w:top w:val="nil"/>
              <w:left w:val="nil"/>
              <w:bottom w:val="nil"/>
              <w:right w:val="nil"/>
            </w:tcBorders>
            <w:shd w:val="clear" w:color="auto" w:fill="auto"/>
            <w:vAlign w:val="center"/>
            <w:hideMark/>
          </w:tcPr>
          <w:p w14:paraId="4461FF54" w14:textId="77777777" w:rsidR="004A17D0" w:rsidRPr="00661D75" w:rsidRDefault="004A17D0" w:rsidP="00420FAC">
            <w:pPr>
              <w:rPr>
                <w:iCs/>
                <w:lang w:val="en-KE" w:eastAsia="en-KE"/>
              </w:rPr>
            </w:pPr>
            <w:r w:rsidRPr="00661D75">
              <w:rPr>
                <w:iCs/>
                <w:lang w:val="en-US" w:eastAsia="en-KE"/>
              </w:rPr>
              <w:t>Minimum Dietary Diversity for Women</w:t>
            </w:r>
          </w:p>
        </w:tc>
      </w:tr>
      <w:tr w:rsidR="00420FAC" w:rsidRPr="00661D75" w14:paraId="53443E13" w14:textId="77777777" w:rsidTr="004A17D0">
        <w:trPr>
          <w:trHeight w:val="330"/>
        </w:trPr>
        <w:tc>
          <w:tcPr>
            <w:tcW w:w="1520" w:type="dxa"/>
            <w:tcBorders>
              <w:top w:val="nil"/>
              <w:left w:val="nil"/>
              <w:bottom w:val="nil"/>
              <w:right w:val="nil"/>
            </w:tcBorders>
            <w:shd w:val="clear" w:color="auto" w:fill="auto"/>
            <w:vAlign w:val="center"/>
            <w:hideMark/>
          </w:tcPr>
          <w:p w14:paraId="03F029F6" w14:textId="77777777" w:rsidR="004A17D0" w:rsidRPr="00661D75" w:rsidRDefault="004A17D0" w:rsidP="00420FAC">
            <w:pPr>
              <w:rPr>
                <w:iCs/>
                <w:lang w:val="en-KE" w:eastAsia="en-KE"/>
              </w:rPr>
            </w:pPr>
            <w:r w:rsidRPr="00661D75">
              <w:rPr>
                <w:iCs/>
                <w:lang w:eastAsia="en-KE"/>
              </w:rPr>
              <w:t>MIYCN</w:t>
            </w:r>
          </w:p>
        </w:tc>
        <w:tc>
          <w:tcPr>
            <w:tcW w:w="5080" w:type="dxa"/>
            <w:tcBorders>
              <w:top w:val="nil"/>
              <w:left w:val="nil"/>
              <w:bottom w:val="nil"/>
              <w:right w:val="nil"/>
            </w:tcBorders>
            <w:shd w:val="clear" w:color="auto" w:fill="auto"/>
            <w:vAlign w:val="center"/>
            <w:hideMark/>
          </w:tcPr>
          <w:p w14:paraId="2F866E5A" w14:textId="77777777" w:rsidR="004A17D0" w:rsidRPr="00661D75" w:rsidRDefault="004A17D0" w:rsidP="00420FAC">
            <w:pPr>
              <w:rPr>
                <w:iCs/>
                <w:lang w:val="en-KE" w:eastAsia="en-KE"/>
              </w:rPr>
            </w:pPr>
            <w:r w:rsidRPr="00661D75">
              <w:rPr>
                <w:iCs/>
                <w:lang w:eastAsia="en-KE"/>
              </w:rPr>
              <w:t>Maternal and Infant Young Child Nutrition</w:t>
            </w:r>
          </w:p>
        </w:tc>
      </w:tr>
      <w:tr w:rsidR="00420FAC" w:rsidRPr="00661D75" w14:paraId="56B04B24" w14:textId="77777777" w:rsidTr="004A17D0">
        <w:trPr>
          <w:trHeight w:val="330"/>
        </w:trPr>
        <w:tc>
          <w:tcPr>
            <w:tcW w:w="1520" w:type="dxa"/>
            <w:tcBorders>
              <w:top w:val="nil"/>
              <w:left w:val="nil"/>
              <w:bottom w:val="nil"/>
              <w:right w:val="nil"/>
            </w:tcBorders>
            <w:shd w:val="clear" w:color="auto" w:fill="auto"/>
            <w:vAlign w:val="center"/>
            <w:hideMark/>
          </w:tcPr>
          <w:p w14:paraId="7C0E2E66" w14:textId="77777777" w:rsidR="004A17D0" w:rsidRPr="00661D75" w:rsidRDefault="004A17D0" w:rsidP="00420FAC">
            <w:pPr>
              <w:rPr>
                <w:iCs/>
                <w:lang w:val="en-KE" w:eastAsia="en-KE"/>
              </w:rPr>
            </w:pPr>
            <w:r w:rsidRPr="00661D75">
              <w:rPr>
                <w:iCs/>
                <w:lang w:val="en-US" w:eastAsia="en-KE"/>
              </w:rPr>
              <w:t>MOH</w:t>
            </w:r>
          </w:p>
        </w:tc>
        <w:tc>
          <w:tcPr>
            <w:tcW w:w="5080" w:type="dxa"/>
            <w:tcBorders>
              <w:top w:val="nil"/>
              <w:left w:val="nil"/>
              <w:bottom w:val="nil"/>
              <w:right w:val="nil"/>
            </w:tcBorders>
            <w:shd w:val="clear" w:color="auto" w:fill="auto"/>
            <w:vAlign w:val="center"/>
            <w:hideMark/>
          </w:tcPr>
          <w:p w14:paraId="4716F48B" w14:textId="77777777" w:rsidR="004A17D0" w:rsidRPr="00661D75" w:rsidRDefault="004A17D0" w:rsidP="00420FAC">
            <w:pPr>
              <w:rPr>
                <w:iCs/>
                <w:lang w:val="en-KE" w:eastAsia="en-KE"/>
              </w:rPr>
            </w:pPr>
            <w:r w:rsidRPr="00661D75">
              <w:rPr>
                <w:iCs/>
                <w:lang w:val="en-US" w:eastAsia="en-KE"/>
              </w:rPr>
              <w:t>Ministry of Health</w:t>
            </w:r>
          </w:p>
        </w:tc>
      </w:tr>
      <w:tr w:rsidR="00420FAC" w:rsidRPr="00661D75" w14:paraId="7035F3D0" w14:textId="77777777" w:rsidTr="004A17D0">
        <w:trPr>
          <w:trHeight w:val="330"/>
        </w:trPr>
        <w:tc>
          <w:tcPr>
            <w:tcW w:w="1520" w:type="dxa"/>
            <w:tcBorders>
              <w:top w:val="nil"/>
              <w:left w:val="nil"/>
              <w:bottom w:val="nil"/>
              <w:right w:val="nil"/>
            </w:tcBorders>
            <w:shd w:val="clear" w:color="auto" w:fill="auto"/>
            <w:vAlign w:val="center"/>
            <w:hideMark/>
          </w:tcPr>
          <w:p w14:paraId="443F8B54" w14:textId="77777777" w:rsidR="004A17D0" w:rsidRPr="00661D75" w:rsidRDefault="004A17D0" w:rsidP="00420FAC">
            <w:pPr>
              <w:rPr>
                <w:iCs/>
                <w:lang w:val="en-KE" w:eastAsia="en-KE"/>
              </w:rPr>
            </w:pPr>
            <w:r w:rsidRPr="00661D75">
              <w:rPr>
                <w:iCs/>
                <w:lang w:val="en-US" w:eastAsia="en-KE"/>
              </w:rPr>
              <w:t>MUAC</w:t>
            </w:r>
          </w:p>
        </w:tc>
        <w:tc>
          <w:tcPr>
            <w:tcW w:w="5080" w:type="dxa"/>
            <w:tcBorders>
              <w:top w:val="nil"/>
              <w:left w:val="nil"/>
              <w:bottom w:val="nil"/>
              <w:right w:val="nil"/>
            </w:tcBorders>
            <w:shd w:val="clear" w:color="auto" w:fill="auto"/>
            <w:vAlign w:val="center"/>
            <w:hideMark/>
          </w:tcPr>
          <w:p w14:paraId="54D0FAE5" w14:textId="77777777" w:rsidR="004A17D0" w:rsidRPr="00661D75" w:rsidRDefault="004A17D0" w:rsidP="00420FAC">
            <w:pPr>
              <w:rPr>
                <w:iCs/>
                <w:lang w:val="en-KE" w:eastAsia="en-KE"/>
              </w:rPr>
            </w:pPr>
            <w:r w:rsidRPr="00661D75">
              <w:rPr>
                <w:iCs/>
                <w:lang w:val="en-US" w:eastAsia="en-KE"/>
              </w:rPr>
              <w:t>Mid Upper Arm Circumference</w:t>
            </w:r>
          </w:p>
        </w:tc>
      </w:tr>
      <w:tr w:rsidR="00420FAC" w:rsidRPr="00661D75" w14:paraId="0CD9C3B1" w14:textId="77777777" w:rsidTr="004A17D0">
        <w:trPr>
          <w:trHeight w:val="330"/>
        </w:trPr>
        <w:tc>
          <w:tcPr>
            <w:tcW w:w="1520" w:type="dxa"/>
            <w:tcBorders>
              <w:top w:val="nil"/>
              <w:left w:val="nil"/>
              <w:bottom w:val="nil"/>
              <w:right w:val="nil"/>
            </w:tcBorders>
            <w:shd w:val="clear" w:color="auto" w:fill="auto"/>
            <w:vAlign w:val="center"/>
            <w:hideMark/>
          </w:tcPr>
          <w:p w14:paraId="60D75D7C" w14:textId="77777777" w:rsidR="004A17D0" w:rsidRPr="00661D75" w:rsidRDefault="004A17D0" w:rsidP="00420FAC">
            <w:pPr>
              <w:rPr>
                <w:iCs/>
                <w:lang w:val="en-KE" w:eastAsia="en-KE"/>
              </w:rPr>
            </w:pPr>
            <w:r w:rsidRPr="00661D75">
              <w:rPr>
                <w:iCs/>
                <w:lang w:val="en-US" w:eastAsia="en-KE"/>
              </w:rPr>
              <w:t>NDMA</w:t>
            </w:r>
          </w:p>
        </w:tc>
        <w:tc>
          <w:tcPr>
            <w:tcW w:w="5080" w:type="dxa"/>
            <w:tcBorders>
              <w:top w:val="nil"/>
              <w:left w:val="nil"/>
              <w:bottom w:val="nil"/>
              <w:right w:val="nil"/>
            </w:tcBorders>
            <w:shd w:val="clear" w:color="auto" w:fill="auto"/>
            <w:vAlign w:val="center"/>
            <w:hideMark/>
          </w:tcPr>
          <w:p w14:paraId="412A3FAE" w14:textId="77777777" w:rsidR="004A17D0" w:rsidRPr="00661D75" w:rsidRDefault="004A17D0" w:rsidP="00420FAC">
            <w:pPr>
              <w:rPr>
                <w:iCs/>
                <w:lang w:val="en-KE" w:eastAsia="en-KE"/>
              </w:rPr>
            </w:pPr>
            <w:r w:rsidRPr="00661D75">
              <w:rPr>
                <w:iCs/>
                <w:lang w:val="en-US" w:eastAsia="en-KE"/>
              </w:rPr>
              <w:t>National Drought Management Authority</w:t>
            </w:r>
          </w:p>
        </w:tc>
      </w:tr>
      <w:tr w:rsidR="00420FAC" w:rsidRPr="00661D75" w14:paraId="377FC266" w14:textId="77777777" w:rsidTr="004A17D0">
        <w:trPr>
          <w:trHeight w:val="330"/>
        </w:trPr>
        <w:tc>
          <w:tcPr>
            <w:tcW w:w="1520" w:type="dxa"/>
            <w:tcBorders>
              <w:top w:val="nil"/>
              <w:left w:val="nil"/>
              <w:bottom w:val="nil"/>
              <w:right w:val="nil"/>
            </w:tcBorders>
            <w:shd w:val="clear" w:color="auto" w:fill="auto"/>
            <w:vAlign w:val="center"/>
            <w:hideMark/>
          </w:tcPr>
          <w:p w14:paraId="193509BC" w14:textId="77777777" w:rsidR="004A17D0" w:rsidRPr="00661D75" w:rsidRDefault="004A17D0" w:rsidP="00420FAC">
            <w:pPr>
              <w:rPr>
                <w:iCs/>
                <w:lang w:val="en-KE" w:eastAsia="en-KE"/>
              </w:rPr>
            </w:pPr>
            <w:r w:rsidRPr="00661D75">
              <w:rPr>
                <w:iCs/>
                <w:lang w:val="en-US" w:eastAsia="en-KE"/>
              </w:rPr>
              <w:t>NGO</w:t>
            </w:r>
          </w:p>
        </w:tc>
        <w:tc>
          <w:tcPr>
            <w:tcW w:w="5080" w:type="dxa"/>
            <w:tcBorders>
              <w:top w:val="nil"/>
              <w:left w:val="nil"/>
              <w:bottom w:val="nil"/>
              <w:right w:val="nil"/>
            </w:tcBorders>
            <w:shd w:val="clear" w:color="auto" w:fill="auto"/>
            <w:vAlign w:val="center"/>
            <w:hideMark/>
          </w:tcPr>
          <w:p w14:paraId="22C34020" w14:textId="77777777" w:rsidR="004A17D0" w:rsidRPr="00661D75" w:rsidRDefault="004A17D0" w:rsidP="00420FAC">
            <w:pPr>
              <w:rPr>
                <w:iCs/>
                <w:lang w:val="en-KE" w:eastAsia="en-KE"/>
              </w:rPr>
            </w:pPr>
            <w:r w:rsidRPr="00661D75">
              <w:rPr>
                <w:iCs/>
                <w:lang w:val="en-US" w:eastAsia="en-KE"/>
              </w:rPr>
              <w:t>Non-governmental Organization</w:t>
            </w:r>
          </w:p>
        </w:tc>
      </w:tr>
      <w:tr w:rsidR="00420FAC" w:rsidRPr="00661D75" w14:paraId="04841009" w14:textId="77777777" w:rsidTr="004A17D0">
        <w:trPr>
          <w:trHeight w:val="330"/>
        </w:trPr>
        <w:tc>
          <w:tcPr>
            <w:tcW w:w="1520" w:type="dxa"/>
            <w:tcBorders>
              <w:top w:val="nil"/>
              <w:left w:val="nil"/>
              <w:bottom w:val="nil"/>
              <w:right w:val="nil"/>
            </w:tcBorders>
            <w:shd w:val="clear" w:color="auto" w:fill="auto"/>
            <w:vAlign w:val="center"/>
            <w:hideMark/>
          </w:tcPr>
          <w:p w14:paraId="3B51946D" w14:textId="77777777" w:rsidR="004A17D0" w:rsidRPr="00661D75" w:rsidRDefault="004A17D0" w:rsidP="00420FAC">
            <w:pPr>
              <w:rPr>
                <w:iCs/>
                <w:lang w:val="en-KE" w:eastAsia="en-KE"/>
              </w:rPr>
            </w:pPr>
            <w:r w:rsidRPr="00661D75">
              <w:rPr>
                <w:iCs/>
                <w:lang w:val="en-US" w:eastAsia="en-KE"/>
              </w:rPr>
              <w:t>NITWG</w:t>
            </w:r>
          </w:p>
        </w:tc>
        <w:tc>
          <w:tcPr>
            <w:tcW w:w="5080" w:type="dxa"/>
            <w:tcBorders>
              <w:top w:val="nil"/>
              <w:left w:val="nil"/>
              <w:bottom w:val="nil"/>
              <w:right w:val="nil"/>
            </w:tcBorders>
            <w:shd w:val="clear" w:color="auto" w:fill="auto"/>
            <w:vAlign w:val="center"/>
            <w:hideMark/>
          </w:tcPr>
          <w:p w14:paraId="43B7FD7A" w14:textId="77777777" w:rsidR="004A17D0" w:rsidRPr="00661D75" w:rsidRDefault="004A17D0" w:rsidP="00420FAC">
            <w:pPr>
              <w:rPr>
                <w:iCs/>
                <w:lang w:val="en-KE" w:eastAsia="en-KE"/>
              </w:rPr>
            </w:pPr>
            <w:r w:rsidRPr="00661D75">
              <w:rPr>
                <w:iCs/>
                <w:lang w:val="en-US" w:eastAsia="en-KE"/>
              </w:rPr>
              <w:t>Nutrition Information Technical Working Group</w:t>
            </w:r>
          </w:p>
        </w:tc>
      </w:tr>
      <w:tr w:rsidR="00420FAC" w:rsidRPr="00661D75" w14:paraId="0AA4D896" w14:textId="77777777" w:rsidTr="004A17D0">
        <w:trPr>
          <w:trHeight w:val="330"/>
        </w:trPr>
        <w:tc>
          <w:tcPr>
            <w:tcW w:w="1520" w:type="dxa"/>
            <w:tcBorders>
              <w:top w:val="nil"/>
              <w:left w:val="nil"/>
              <w:bottom w:val="nil"/>
              <w:right w:val="nil"/>
            </w:tcBorders>
            <w:shd w:val="clear" w:color="auto" w:fill="auto"/>
            <w:vAlign w:val="center"/>
            <w:hideMark/>
          </w:tcPr>
          <w:p w14:paraId="5967CD29" w14:textId="77777777" w:rsidR="004A17D0" w:rsidRPr="00661D75" w:rsidRDefault="004A17D0" w:rsidP="00420FAC">
            <w:pPr>
              <w:rPr>
                <w:iCs/>
                <w:lang w:val="en-KE" w:eastAsia="en-KE"/>
              </w:rPr>
            </w:pPr>
            <w:r w:rsidRPr="00661D75">
              <w:rPr>
                <w:iCs/>
                <w:lang w:val="en-US" w:eastAsia="en-KE"/>
              </w:rPr>
              <w:t>ODK</w:t>
            </w:r>
          </w:p>
        </w:tc>
        <w:tc>
          <w:tcPr>
            <w:tcW w:w="5080" w:type="dxa"/>
            <w:tcBorders>
              <w:top w:val="nil"/>
              <w:left w:val="nil"/>
              <w:bottom w:val="nil"/>
              <w:right w:val="nil"/>
            </w:tcBorders>
            <w:shd w:val="clear" w:color="auto" w:fill="auto"/>
            <w:vAlign w:val="center"/>
            <w:hideMark/>
          </w:tcPr>
          <w:p w14:paraId="7E3677F4" w14:textId="77777777" w:rsidR="004A17D0" w:rsidRPr="00661D75" w:rsidRDefault="004A17D0" w:rsidP="00420FAC">
            <w:pPr>
              <w:rPr>
                <w:iCs/>
                <w:lang w:val="en-KE" w:eastAsia="en-KE"/>
              </w:rPr>
            </w:pPr>
            <w:r w:rsidRPr="00661D75">
              <w:rPr>
                <w:iCs/>
                <w:lang w:val="en-US" w:eastAsia="en-KE"/>
              </w:rPr>
              <w:t>Open Data Kit</w:t>
            </w:r>
          </w:p>
        </w:tc>
      </w:tr>
      <w:tr w:rsidR="00420FAC" w:rsidRPr="00661D75" w14:paraId="0CA1A32F" w14:textId="77777777" w:rsidTr="004A17D0">
        <w:trPr>
          <w:trHeight w:val="330"/>
        </w:trPr>
        <w:tc>
          <w:tcPr>
            <w:tcW w:w="1520" w:type="dxa"/>
            <w:tcBorders>
              <w:top w:val="nil"/>
              <w:left w:val="nil"/>
              <w:bottom w:val="nil"/>
              <w:right w:val="nil"/>
            </w:tcBorders>
            <w:shd w:val="clear" w:color="auto" w:fill="auto"/>
            <w:vAlign w:val="center"/>
            <w:hideMark/>
          </w:tcPr>
          <w:p w14:paraId="7115993A" w14:textId="77777777" w:rsidR="004A17D0" w:rsidRPr="00661D75" w:rsidRDefault="004A17D0" w:rsidP="00420FAC">
            <w:pPr>
              <w:rPr>
                <w:iCs/>
                <w:lang w:val="en-KE" w:eastAsia="en-KE"/>
              </w:rPr>
            </w:pPr>
            <w:r w:rsidRPr="00661D75">
              <w:rPr>
                <w:iCs/>
                <w:lang w:val="en-US" w:eastAsia="en-KE"/>
              </w:rPr>
              <w:t>ORS</w:t>
            </w:r>
          </w:p>
        </w:tc>
        <w:tc>
          <w:tcPr>
            <w:tcW w:w="5080" w:type="dxa"/>
            <w:tcBorders>
              <w:top w:val="nil"/>
              <w:left w:val="nil"/>
              <w:bottom w:val="nil"/>
              <w:right w:val="nil"/>
            </w:tcBorders>
            <w:shd w:val="clear" w:color="auto" w:fill="auto"/>
            <w:vAlign w:val="center"/>
            <w:hideMark/>
          </w:tcPr>
          <w:p w14:paraId="64A442C0" w14:textId="77777777" w:rsidR="004A17D0" w:rsidRPr="00661D75" w:rsidRDefault="004A17D0" w:rsidP="00420FAC">
            <w:pPr>
              <w:rPr>
                <w:iCs/>
                <w:lang w:val="en-KE" w:eastAsia="en-KE"/>
              </w:rPr>
            </w:pPr>
            <w:r w:rsidRPr="00661D75">
              <w:rPr>
                <w:iCs/>
                <w:lang w:val="en-US" w:eastAsia="en-KE"/>
              </w:rPr>
              <w:t>Oral Rehydration Solution</w:t>
            </w:r>
          </w:p>
        </w:tc>
      </w:tr>
      <w:tr w:rsidR="00420FAC" w:rsidRPr="00661D75" w14:paraId="26F04D81" w14:textId="77777777" w:rsidTr="004A17D0">
        <w:trPr>
          <w:trHeight w:val="330"/>
        </w:trPr>
        <w:tc>
          <w:tcPr>
            <w:tcW w:w="1520" w:type="dxa"/>
            <w:tcBorders>
              <w:top w:val="nil"/>
              <w:left w:val="nil"/>
              <w:bottom w:val="nil"/>
              <w:right w:val="nil"/>
            </w:tcBorders>
            <w:shd w:val="clear" w:color="auto" w:fill="auto"/>
            <w:vAlign w:val="center"/>
            <w:hideMark/>
          </w:tcPr>
          <w:p w14:paraId="2FFDF6FA" w14:textId="77777777" w:rsidR="004A17D0" w:rsidRPr="00661D75" w:rsidRDefault="004A17D0" w:rsidP="00420FAC">
            <w:pPr>
              <w:rPr>
                <w:iCs/>
                <w:lang w:val="en-KE" w:eastAsia="en-KE"/>
              </w:rPr>
            </w:pPr>
            <w:r w:rsidRPr="00661D75">
              <w:rPr>
                <w:iCs/>
                <w:lang w:val="en-US" w:eastAsia="en-KE"/>
              </w:rPr>
              <w:t>OTP</w:t>
            </w:r>
          </w:p>
        </w:tc>
        <w:tc>
          <w:tcPr>
            <w:tcW w:w="5080" w:type="dxa"/>
            <w:tcBorders>
              <w:top w:val="nil"/>
              <w:left w:val="nil"/>
              <w:bottom w:val="nil"/>
              <w:right w:val="nil"/>
            </w:tcBorders>
            <w:shd w:val="clear" w:color="auto" w:fill="auto"/>
            <w:vAlign w:val="center"/>
            <w:hideMark/>
          </w:tcPr>
          <w:p w14:paraId="3CF89170" w14:textId="77777777" w:rsidR="004A17D0" w:rsidRPr="00661D75" w:rsidRDefault="004A17D0" w:rsidP="00420FAC">
            <w:pPr>
              <w:rPr>
                <w:iCs/>
                <w:lang w:val="en-KE" w:eastAsia="en-KE"/>
              </w:rPr>
            </w:pPr>
            <w:r w:rsidRPr="00661D75">
              <w:rPr>
                <w:iCs/>
                <w:lang w:val="en-US" w:eastAsia="en-KE"/>
              </w:rPr>
              <w:t>Outpatient Therapeutic Programme</w:t>
            </w:r>
          </w:p>
        </w:tc>
      </w:tr>
      <w:tr w:rsidR="00420FAC" w:rsidRPr="00661D75" w14:paraId="5E38CBE9" w14:textId="77777777" w:rsidTr="004A17D0">
        <w:trPr>
          <w:trHeight w:val="330"/>
        </w:trPr>
        <w:tc>
          <w:tcPr>
            <w:tcW w:w="1520" w:type="dxa"/>
            <w:tcBorders>
              <w:top w:val="nil"/>
              <w:left w:val="nil"/>
              <w:bottom w:val="nil"/>
              <w:right w:val="nil"/>
            </w:tcBorders>
            <w:shd w:val="clear" w:color="auto" w:fill="auto"/>
            <w:vAlign w:val="center"/>
            <w:hideMark/>
          </w:tcPr>
          <w:p w14:paraId="6BDA2334" w14:textId="77777777" w:rsidR="004A17D0" w:rsidRPr="00661D75" w:rsidRDefault="004A17D0" w:rsidP="00420FAC">
            <w:pPr>
              <w:rPr>
                <w:iCs/>
                <w:lang w:val="en-KE" w:eastAsia="en-KE"/>
              </w:rPr>
            </w:pPr>
            <w:r w:rsidRPr="00661D75">
              <w:rPr>
                <w:iCs/>
                <w:lang w:val="en-US" w:eastAsia="en-KE"/>
              </w:rPr>
              <w:t>PLW</w:t>
            </w:r>
          </w:p>
        </w:tc>
        <w:tc>
          <w:tcPr>
            <w:tcW w:w="5080" w:type="dxa"/>
            <w:tcBorders>
              <w:top w:val="nil"/>
              <w:left w:val="nil"/>
              <w:bottom w:val="nil"/>
              <w:right w:val="nil"/>
            </w:tcBorders>
            <w:shd w:val="clear" w:color="auto" w:fill="auto"/>
            <w:vAlign w:val="center"/>
            <w:hideMark/>
          </w:tcPr>
          <w:p w14:paraId="2A857DD3" w14:textId="77777777" w:rsidR="004A17D0" w:rsidRPr="00661D75" w:rsidRDefault="004A17D0" w:rsidP="00420FAC">
            <w:pPr>
              <w:rPr>
                <w:iCs/>
                <w:lang w:val="en-KE" w:eastAsia="en-KE"/>
              </w:rPr>
            </w:pPr>
            <w:r w:rsidRPr="00661D75">
              <w:rPr>
                <w:iCs/>
                <w:lang w:val="en-US" w:eastAsia="en-KE"/>
              </w:rPr>
              <w:t>Pregnant and Lactating Women</w:t>
            </w:r>
          </w:p>
        </w:tc>
      </w:tr>
      <w:tr w:rsidR="00420FAC" w:rsidRPr="00661D75" w14:paraId="2A73D8AA" w14:textId="77777777" w:rsidTr="004A17D0">
        <w:trPr>
          <w:trHeight w:val="330"/>
        </w:trPr>
        <w:tc>
          <w:tcPr>
            <w:tcW w:w="1520" w:type="dxa"/>
            <w:tcBorders>
              <w:top w:val="nil"/>
              <w:left w:val="nil"/>
              <w:bottom w:val="nil"/>
              <w:right w:val="nil"/>
            </w:tcBorders>
            <w:shd w:val="clear" w:color="auto" w:fill="auto"/>
            <w:vAlign w:val="center"/>
            <w:hideMark/>
          </w:tcPr>
          <w:p w14:paraId="43F395B1" w14:textId="77777777" w:rsidR="004A17D0" w:rsidRPr="00661D75" w:rsidRDefault="004A17D0" w:rsidP="00420FAC">
            <w:pPr>
              <w:rPr>
                <w:iCs/>
                <w:lang w:val="en-KE" w:eastAsia="en-KE"/>
              </w:rPr>
            </w:pPr>
            <w:r w:rsidRPr="00661D75">
              <w:rPr>
                <w:iCs/>
                <w:lang w:val="en-US" w:eastAsia="en-KE"/>
              </w:rPr>
              <w:t>PPS</w:t>
            </w:r>
          </w:p>
        </w:tc>
        <w:tc>
          <w:tcPr>
            <w:tcW w:w="5080" w:type="dxa"/>
            <w:tcBorders>
              <w:top w:val="nil"/>
              <w:left w:val="nil"/>
              <w:bottom w:val="nil"/>
              <w:right w:val="nil"/>
            </w:tcBorders>
            <w:shd w:val="clear" w:color="auto" w:fill="auto"/>
            <w:vAlign w:val="center"/>
            <w:hideMark/>
          </w:tcPr>
          <w:p w14:paraId="72C27E4A" w14:textId="77777777" w:rsidR="004A17D0" w:rsidRPr="00661D75" w:rsidRDefault="004A17D0" w:rsidP="00420FAC">
            <w:pPr>
              <w:rPr>
                <w:iCs/>
                <w:lang w:val="en-KE" w:eastAsia="en-KE"/>
              </w:rPr>
            </w:pPr>
            <w:r w:rsidRPr="00661D75">
              <w:rPr>
                <w:iCs/>
                <w:lang w:val="en-US" w:eastAsia="en-KE"/>
              </w:rPr>
              <w:t>Probability proportional to size</w:t>
            </w:r>
          </w:p>
        </w:tc>
      </w:tr>
      <w:tr w:rsidR="00420FAC" w:rsidRPr="00661D75" w14:paraId="2DB54111" w14:textId="77777777" w:rsidTr="004A17D0">
        <w:trPr>
          <w:trHeight w:val="330"/>
        </w:trPr>
        <w:tc>
          <w:tcPr>
            <w:tcW w:w="1520" w:type="dxa"/>
            <w:tcBorders>
              <w:top w:val="nil"/>
              <w:left w:val="nil"/>
              <w:bottom w:val="nil"/>
              <w:right w:val="nil"/>
            </w:tcBorders>
            <w:shd w:val="clear" w:color="auto" w:fill="auto"/>
            <w:vAlign w:val="center"/>
            <w:hideMark/>
          </w:tcPr>
          <w:p w14:paraId="394BCE4C" w14:textId="77777777" w:rsidR="004A17D0" w:rsidRPr="00661D75" w:rsidRDefault="004A17D0" w:rsidP="00420FAC">
            <w:pPr>
              <w:rPr>
                <w:iCs/>
                <w:lang w:val="en-KE" w:eastAsia="en-KE"/>
              </w:rPr>
            </w:pPr>
            <w:r w:rsidRPr="00661D75">
              <w:rPr>
                <w:iCs/>
                <w:lang w:val="en-US" w:eastAsia="en-KE"/>
              </w:rPr>
              <w:t>RC</w:t>
            </w:r>
          </w:p>
        </w:tc>
        <w:tc>
          <w:tcPr>
            <w:tcW w:w="5080" w:type="dxa"/>
            <w:tcBorders>
              <w:top w:val="nil"/>
              <w:left w:val="nil"/>
              <w:bottom w:val="nil"/>
              <w:right w:val="nil"/>
            </w:tcBorders>
            <w:shd w:val="clear" w:color="auto" w:fill="auto"/>
            <w:vAlign w:val="center"/>
            <w:hideMark/>
          </w:tcPr>
          <w:p w14:paraId="2C35F99A" w14:textId="77777777" w:rsidR="004A17D0" w:rsidRPr="00661D75" w:rsidRDefault="004A17D0" w:rsidP="00420FAC">
            <w:pPr>
              <w:rPr>
                <w:iCs/>
                <w:lang w:val="en-KE" w:eastAsia="en-KE"/>
              </w:rPr>
            </w:pPr>
            <w:r w:rsidRPr="00661D75">
              <w:rPr>
                <w:iCs/>
                <w:lang w:val="en-US" w:eastAsia="en-KE"/>
              </w:rPr>
              <w:t>Reserve cluster</w:t>
            </w:r>
          </w:p>
        </w:tc>
      </w:tr>
      <w:tr w:rsidR="00420FAC" w:rsidRPr="00661D75" w14:paraId="7B6B3647" w14:textId="77777777" w:rsidTr="004A17D0">
        <w:trPr>
          <w:trHeight w:val="330"/>
        </w:trPr>
        <w:tc>
          <w:tcPr>
            <w:tcW w:w="1520" w:type="dxa"/>
            <w:tcBorders>
              <w:top w:val="nil"/>
              <w:left w:val="nil"/>
              <w:bottom w:val="nil"/>
              <w:right w:val="nil"/>
            </w:tcBorders>
            <w:shd w:val="clear" w:color="auto" w:fill="auto"/>
            <w:vAlign w:val="center"/>
            <w:hideMark/>
          </w:tcPr>
          <w:p w14:paraId="1D8E04E4" w14:textId="77777777" w:rsidR="004A17D0" w:rsidRPr="00661D75" w:rsidRDefault="004A17D0" w:rsidP="00420FAC">
            <w:pPr>
              <w:rPr>
                <w:iCs/>
                <w:lang w:val="en-KE" w:eastAsia="en-KE"/>
              </w:rPr>
            </w:pPr>
            <w:r w:rsidRPr="00661D75">
              <w:rPr>
                <w:iCs/>
                <w:lang w:eastAsia="en-KE"/>
              </w:rPr>
              <w:t>rCSI</w:t>
            </w:r>
          </w:p>
        </w:tc>
        <w:tc>
          <w:tcPr>
            <w:tcW w:w="5080" w:type="dxa"/>
            <w:tcBorders>
              <w:top w:val="nil"/>
              <w:left w:val="nil"/>
              <w:bottom w:val="nil"/>
              <w:right w:val="nil"/>
            </w:tcBorders>
            <w:shd w:val="clear" w:color="auto" w:fill="auto"/>
            <w:vAlign w:val="center"/>
            <w:hideMark/>
          </w:tcPr>
          <w:p w14:paraId="6C5E5EE4" w14:textId="77777777" w:rsidR="004A17D0" w:rsidRPr="00661D75" w:rsidRDefault="004A17D0" w:rsidP="00420FAC">
            <w:pPr>
              <w:rPr>
                <w:iCs/>
                <w:lang w:val="en-KE" w:eastAsia="en-KE"/>
              </w:rPr>
            </w:pPr>
            <w:r w:rsidRPr="00661D75">
              <w:rPr>
                <w:iCs/>
                <w:lang w:eastAsia="en-KE"/>
              </w:rPr>
              <w:t>Reduced Coping Strategy Index</w:t>
            </w:r>
          </w:p>
        </w:tc>
      </w:tr>
      <w:tr w:rsidR="00420FAC" w:rsidRPr="00661D75" w14:paraId="034FEC06" w14:textId="77777777" w:rsidTr="004A17D0">
        <w:trPr>
          <w:trHeight w:val="330"/>
        </w:trPr>
        <w:tc>
          <w:tcPr>
            <w:tcW w:w="1520" w:type="dxa"/>
            <w:tcBorders>
              <w:top w:val="nil"/>
              <w:left w:val="nil"/>
              <w:bottom w:val="nil"/>
              <w:right w:val="nil"/>
            </w:tcBorders>
            <w:shd w:val="clear" w:color="auto" w:fill="auto"/>
            <w:vAlign w:val="center"/>
            <w:hideMark/>
          </w:tcPr>
          <w:p w14:paraId="5B0E3FE5" w14:textId="77777777" w:rsidR="004A17D0" w:rsidRPr="00661D75" w:rsidRDefault="004A17D0" w:rsidP="00420FAC">
            <w:pPr>
              <w:rPr>
                <w:iCs/>
                <w:lang w:val="en-KE" w:eastAsia="en-KE"/>
              </w:rPr>
            </w:pPr>
            <w:r w:rsidRPr="00661D75">
              <w:rPr>
                <w:iCs/>
                <w:lang w:val="en-US" w:eastAsia="en-KE"/>
              </w:rPr>
              <w:t>RUSF</w:t>
            </w:r>
          </w:p>
        </w:tc>
        <w:tc>
          <w:tcPr>
            <w:tcW w:w="5080" w:type="dxa"/>
            <w:tcBorders>
              <w:top w:val="nil"/>
              <w:left w:val="nil"/>
              <w:bottom w:val="nil"/>
              <w:right w:val="nil"/>
            </w:tcBorders>
            <w:shd w:val="clear" w:color="auto" w:fill="auto"/>
            <w:vAlign w:val="center"/>
            <w:hideMark/>
          </w:tcPr>
          <w:p w14:paraId="4CB62901" w14:textId="77777777" w:rsidR="004A17D0" w:rsidRPr="00661D75" w:rsidRDefault="004A17D0" w:rsidP="00420FAC">
            <w:pPr>
              <w:rPr>
                <w:iCs/>
                <w:lang w:val="en-KE" w:eastAsia="en-KE"/>
              </w:rPr>
            </w:pPr>
            <w:r w:rsidRPr="00661D75">
              <w:rPr>
                <w:iCs/>
                <w:lang w:val="en-US" w:eastAsia="en-KE"/>
              </w:rPr>
              <w:t>Ready To use Supplementary food</w:t>
            </w:r>
          </w:p>
        </w:tc>
      </w:tr>
      <w:tr w:rsidR="00420FAC" w:rsidRPr="00661D75" w14:paraId="57C9EF12" w14:textId="77777777" w:rsidTr="004A17D0">
        <w:trPr>
          <w:trHeight w:val="330"/>
        </w:trPr>
        <w:tc>
          <w:tcPr>
            <w:tcW w:w="1520" w:type="dxa"/>
            <w:tcBorders>
              <w:top w:val="nil"/>
              <w:left w:val="nil"/>
              <w:bottom w:val="nil"/>
              <w:right w:val="nil"/>
            </w:tcBorders>
            <w:shd w:val="clear" w:color="auto" w:fill="auto"/>
            <w:vAlign w:val="center"/>
            <w:hideMark/>
          </w:tcPr>
          <w:p w14:paraId="2C1E61CC" w14:textId="77777777" w:rsidR="004A17D0" w:rsidRPr="00661D75" w:rsidRDefault="004A17D0" w:rsidP="00420FAC">
            <w:pPr>
              <w:rPr>
                <w:iCs/>
                <w:lang w:val="en-KE" w:eastAsia="en-KE"/>
              </w:rPr>
            </w:pPr>
            <w:r w:rsidRPr="00661D75">
              <w:rPr>
                <w:iCs/>
                <w:lang w:val="en-US" w:eastAsia="en-KE"/>
              </w:rPr>
              <w:t>RUTF</w:t>
            </w:r>
          </w:p>
        </w:tc>
        <w:tc>
          <w:tcPr>
            <w:tcW w:w="5080" w:type="dxa"/>
            <w:tcBorders>
              <w:top w:val="nil"/>
              <w:left w:val="nil"/>
              <w:bottom w:val="nil"/>
              <w:right w:val="nil"/>
            </w:tcBorders>
            <w:shd w:val="clear" w:color="auto" w:fill="auto"/>
            <w:vAlign w:val="center"/>
            <w:hideMark/>
          </w:tcPr>
          <w:p w14:paraId="249A8AC2" w14:textId="77777777" w:rsidR="004A17D0" w:rsidRPr="00661D75" w:rsidRDefault="004A17D0" w:rsidP="00420FAC">
            <w:pPr>
              <w:rPr>
                <w:iCs/>
                <w:lang w:val="en-KE" w:eastAsia="en-KE"/>
              </w:rPr>
            </w:pPr>
            <w:r w:rsidRPr="00661D75">
              <w:rPr>
                <w:iCs/>
                <w:lang w:val="en-US" w:eastAsia="en-KE"/>
              </w:rPr>
              <w:t>Ready to Use Therapeutic Food</w:t>
            </w:r>
          </w:p>
        </w:tc>
      </w:tr>
      <w:tr w:rsidR="00420FAC" w:rsidRPr="00661D75" w14:paraId="21C326A1" w14:textId="77777777" w:rsidTr="004A17D0">
        <w:trPr>
          <w:trHeight w:val="330"/>
        </w:trPr>
        <w:tc>
          <w:tcPr>
            <w:tcW w:w="1520" w:type="dxa"/>
            <w:tcBorders>
              <w:top w:val="nil"/>
              <w:left w:val="nil"/>
              <w:bottom w:val="nil"/>
              <w:right w:val="nil"/>
            </w:tcBorders>
            <w:shd w:val="clear" w:color="auto" w:fill="auto"/>
            <w:vAlign w:val="center"/>
            <w:hideMark/>
          </w:tcPr>
          <w:p w14:paraId="78E56106" w14:textId="77777777" w:rsidR="004A17D0" w:rsidRPr="00661D75" w:rsidRDefault="004A17D0" w:rsidP="00420FAC">
            <w:pPr>
              <w:rPr>
                <w:iCs/>
                <w:lang w:val="en-KE" w:eastAsia="en-KE"/>
              </w:rPr>
            </w:pPr>
            <w:r w:rsidRPr="00661D75">
              <w:rPr>
                <w:iCs/>
                <w:lang w:val="en-US" w:eastAsia="en-KE"/>
              </w:rPr>
              <w:t>SAM</w:t>
            </w:r>
          </w:p>
        </w:tc>
        <w:tc>
          <w:tcPr>
            <w:tcW w:w="5080" w:type="dxa"/>
            <w:tcBorders>
              <w:top w:val="nil"/>
              <w:left w:val="nil"/>
              <w:bottom w:val="nil"/>
              <w:right w:val="nil"/>
            </w:tcBorders>
            <w:shd w:val="clear" w:color="auto" w:fill="auto"/>
            <w:vAlign w:val="center"/>
            <w:hideMark/>
          </w:tcPr>
          <w:p w14:paraId="12C81B11" w14:textId="77777777" w:rsidR="004A17D0" w:rsidRPr="00661D75" w:rsidRDefault="004A17D0" w:rsidP="00420FAC">
            <w:pPr>
              <w:rPr>
                <w:iCs/>
                <w:lang w:val="en-KE" w:eastAsia="en-KE"/>
              </w:rPr>
            </w:pPr>
            <w:r w:rsidRPr="00661D75">
              <w:rPr>
                <w:iCs/>
                <w:lang w:val="en-US" w:eastAsia="en-KE"/>
              </w:rPr>
              <w:t>Severe Acute Malnutrition</w:t>
            </w:r>
          </w:p>
        </w:tc>
      </w:tr>
      <w:tr w:rsidR="00420FAC" w:rsidRPr="00661D75" w14:paraId="69783DBF" w14:textId="77777777" w:rsidTr="004A17D0">
        <w:trPr>
          <w:trHeight w:val="330"/>
        </w:trPr>
        <w:tc>
          <w:tcPr>
            <w:tcW w:w="1520" w:type="dxa"/>
            <w:tcBorders>
              <w:top w:val="nil"/>
              <w:left w:val="nil"/>
              <w:bottom w:val="nil"/>
              <w:right w:val="nil"/>
            </w:tcBorders>
            <w:shd w:val="clear" w:color="auto" w:fill="auto"/>
            <w:vAlign w:val="center"/>
            <w:hideMark/>
          </w:tcPr>
          <w:p w14:paraId="56ADC4F4" w14:textId="77777777" w:rsidR="004A17D0" w:rsidRPr="00661D75" w:rsidRDefault="004A17D0" w:rsidP="00420FAC">
            <w:pPr>
              <w:rPr>
                <w:iCs/>
                <w:lang w:val="en-KE" w:eastAsia="en-KE"/>
              </w:rPr>
            </w:pPr>
            <w:r w:rsidRPr="00661D75">
              <w:rPr>
                <w:iCs/>
                <w:lang w:val="en-US" w:eastAsia="en-KE"/>
              </w:rPr>
              <w:t>SCHMT</w:t>
            </w:r>
          </w:p>
        </w:tc>
        <w:tc>
          <w:tcPr>
            <w:tcW w:w="5080" w:type="dxa"/>
            <w:tcBorders>
              <w:top w:val="nil"/>
              <w:left w:val="nil"/>
              <w:bottom w:val="nil"/>
              <w:right w:val="nil"/>
            </w:tcBorders>
            <w:shd w:val="clear" w:color="auto" w:fill="auto"/>
            <w:vAlign w:val="center"/>
            <w:hideMark/>
          </w:tcPr>
          <w:p w14:paraId="6369B601" w14:textId="77777777" w:rsidR="004A17D0" w:rsidRPr="00661D75" w:rsidRDefault="004A17D0" w:rsidP="00420FAC">
            <w:pPr>
              <w:rPr>
                <w:iCs/>
                <w:lang w:val="en-KE" w:eastAsia="en-KE"/>
              </w:rPr>
            </w:pPr>
            <w:r w:rsidRPr="00661D75">
              <w:rPr>
                <w:iCs/>
                <w:lang w:val="en-US" w:eastAsia="en-KE"/>
              </w:rPr>
              <w:t>Sub-County Health Management Team</w:t>
            </w:r>
          </w:p>
        </w:tc>
      </w:tr>
      <w:tr w:rsidR="00420FAC" w:rsidRPr="00661D75" w14:paraId="7E7A57FA" w14:textId="77777777" w:rsidTr="004A17D0">
        <w:trPr>
          <w:trHeight w:val="330"/>
        </w:trPr>
        <w:tc>
          <w:tcPr>
            <w:tcW w:w="1520" w:type="dxa"/>
            <w:tcBorders>
              <w:top w:val="nil"/>
              <w:left w:val="nil"/>
              <w:bottom w:val="nil"/>
              <w:right w:val="nil"/>
            </w:tcBorders>
            <w:shd w:val="clear" w:color="auto" w:fill="auto"/>
            <w:vAlign w:val="center"/>
            <w:hideMark/>
          </w:tcPr>
          <w:p w14:paraId="44E5AC1E" w14:textId="77777777" w:rsidR="004A17D0" w:rsidRPr="00661D75" w:rsidRDefault="004A17D0" w:rsidP="00420FAC">
            <w:pPr>
              <w:rPr>
                <w:iCs/>
                <w:lang w:val="en-KE" w:eastAsia="en-KE"/>
              </w:rPr>
            </w:pPr>
            <w:r w:rsidRPr="00661D75">
              <w:rPr>
                <w:iCs/>
                <w:lang w:val="en-US" w:eastAsia="en-KE"/>
              </w:rPr>
              <w:t>SCNO</w:t>
            </w:r>
          </w:p>
        </w:tc>
        <w:tc>
          <w:tcPr>
            <w:tcW w:w="5080" w:type="dxa"/>
            <w:tcBorders>
              <w:top w:val="nil"/>
              <w:left w:val="nil"/>
              <w:bottom w:val="nil"/>
              <w:right w:val="nil"/>
            </w:tcBorders>
            <w:shd w:val="clear" w:color="auto" w:fill="auto"/>
            <w:vAlign w:val="center"/>
            <w:hideMark/>
          </w:tcPr>
          <w:p w14:paraId="3A08CBAC" w14:textId="77777777" w:rsidR="004A17D0" w:rsidRPr="00661D75" w:rsidRDefault="004A17D0" w:rsidP="00420FAC">
            <w:pPr>
              <w:rPr>
                <w:iCs/>
                <w:lang w:val="en-KE" w:eastAsia="en-KE"/>
              </w:rPr>
            </w:pPr>
            <w:r w:rsidRPr="00661D75">
              <w:rPr>
                <w:iCs/>
                <w:lang w:val="en-US" w:eastAsia="en-KE"/>
              </w:rPr>
              <w:t>Sub County Nutrition Officer</w:t>
            </w:r>
          </w:p>
        </w:tc>
      </w:tr>
      <w:tr w:rsidR="00420FAC" w:rsidRPr="00661D75" w14:paraId="1B3C3C5A" w14:textId="77777777" w:rsidTr="004A17D0">
        <w:trPr>
          <w:trHeight w:val="330"/>
        </w:trPr>
        <w:tc>
          <w:tcPr>
            <w:tcW w:w="1520" w:type="dxa"/>
            <w:tcBorders>
              <w:top w:val="nil"/>
              <w:left w:val="nil"/>
              <w:bottom w:val="nil"/>
              <w:right w:val="nil"/>
            </w:tcBorders>
            <w:shd w:val="clear" w:color="auto" w:fill="auto"/>
            <w:vAlign w:val="center"/>
            <w:hideMark/>
          </w:tcPr>
          <w:p w14:paraId="368E1180" w14:textId="77777777" w:rsidR="004A17D0" w:rsidRPr="00661D75" w:rsidRDefault="004A17D0" w:rsidP="00420FAC">
            <w:pPr>
              <w:rPr>
                <w:iCs/>
                <w:lang w:val="en-KE" w:eastAsia="en-KE"/>
              </w:rPr>
            </w:pPr>
            <w:r w:rsidRPr="00661D75">
              <w:rPr>
                <w:iCs/>
                <w:lang w:val="en-US" w:eastAsia="en-KE"/>
              </w:rPr>
              <w:t>SD</w:t>
            </w:r>
          </w:p>
        </w:tc>
        <w:tc>
          <w:tcPr>
            <w:tcW w:w="5080" w:type="dxa"/>
            <w:tcBorders>
              <w:top w:val="nil"/>
              <w:left w:val="nil"/>
              <w:bottom w:val="nil"/>
              <w:right w:val="nil"/>
            </w:tcBorders>
            <w:shd w:val="clear" w:color="auto" w:fill="auto"/>
            <w:vAlign w:val="center"/>
            <w:hideMark/>
          </w:tcPr>
          <w:p w14:paraId="034222C3" w14:textId="77777777" w:rsidR="004A17D0" w:rsidRPr="00661D75" w:rsidRDefault="004A17D0" w:rsidP="00420FAC">
            <w:pPr>
              <w:rPr>
                <w:iCs/>
                <w:lang w:val="en-KE" w:eastAsia="en-KE"/>
              </w:rPr>
            </w:pPr>
            <w:r w:rsidRPr="00661D75">
              <w:rPr>
                <w:iCs/>
                <w:lang w:val="en-US" w:eastAsia="en-KE"/>
              </w:rPr>
              <w:t>Standard Deviation</w:t>
            </w:r>
          </w:p>
        </w:tc>
      </w:tr>
      <w:tr w:rsidR="00420FAC" w:rsidRPr="00661D75" w14:paraId="02D9B097" w14:textId="77777777" w:rsidTr="004A17D0">
        <w:trPr>
          <w:trHeight w:val="330"/>
        </w:trPr>
        <w:tc>
          <w:tcPr>
            <w:tcW w:w="1520" w:type="dxa"/>
            <w:tcBorders>
              <w:top w:val="nil"/>
              <w:left w:val="nil"/>
              <w:bottom w:val="nil"/>
              <w:right w:val="nil"/>
            </w:tcBorders>
            <w:shd w:val="clear" w:color="auto" w:fill="auto"/>
            <w:vAlign w:val="center"/>
            <w:hideMark/>
          </w:tcPr>
          <w:p w14:paraId="70E4144C" w14:textId="77777777" w:rsidR="004A17D0" w:rsidRPr="00661D75" w:rsidRDefault="004A17D0" w:rsidP="00420FAC">
            <w:pPr>
              <w:rPr>
                <w:iCs/>
                <w:lang w:val="en-KE" w:eastAsia="en-KE"/>
              </w:rPr>
            </w:pPr>
            <w:r w:rsidRPr="00661D75">
              <w:rPr>
                <w:iCs/>
                <w:lang w:val="en-US" w:eastAsia="en-KE"/>
              </w:rPr>
              <w:t>SFP</w:t>
            </w:r>
          </w:p>
        </w:tc>
        <w:tc>
          <w:tcPr>
            <w:tcW w:w="5080" w:type="dxa"/>
            <w:tcBorders>
              <w:top w:val="nil"/>
              <w:left w:val="nil"/>
              <w:bottom w:val="nil"/>
              <w:right w:val="nil"/>
            </w:tcBorders>
            <w:shd w:val="clear" w:color="auto" w:fill="auto"/>
            <w:vAlign w:val="center"/>
            <w:hideMark/>
          </w:tcPr>
          <w:p w14:paraId="78EBA303" w14:textId="77777777" w:rsidR="004A17D0" w:rsidRPr="00661D75" w:rsidRDefault="004A17D0" w:rsidP="00420FAC">
            <w:pPr>
              <w:rPr>
                <w:iCs/>
                <w:lang w:val="en-KE" w:eastAsia="en-KE"/>
              </w:rPr>
            </w:pPr>
            <w:r w:rsidRPr="00661D75">
              <w:rPr>
                <w:iCs/>
                <w:lang w:val="en-US" w:eastAsia="en-KE"/>
              </w:rPr>
              <w:t>Supplementary Feeding Programme</w:t>
            </w:r>
          </w:p>
        </w:tc>
      </w:tr>
      <w:tr w:rsidR="00420FAC" w:rsidRPr="00661D75" w14:paraId="5499F911" w14:textId="77777777" w:rsidTr="004A17D0">
        <w:trPr>
          <w:trHeight w:val="630"/>
        </w:trPr>
        <w:tc>
          <w:tcPr>
            <w:tcW w:w="1520" w:type="dxa"/>
            <w:tcBorders>
              <w:top w:val="nil"/>
              <w:left w:val="nil"/>
              <w:bottom w:val="nil"/>
              <w:right w:val="nil"/>
            </w:tcBorders>
            <w:shd w:val="clear" w:color="auto" w:fill="auto"/>
            <w:vAlign w:val="center"/>
            <w:hideMark/>
          </w:tcPr>
          <w:p w14:paraId="74584620" w14:textId="77777777" w:rsidR="004A17D0" w:rsidRPr="00661D75" w:rsidRDefault="004A17D0" w:rsidP="00420FAC">
            <w:pPr>
              <w:rPr>
                <w:iCs/>
                <w:lang w:val="en-KE" w:eastAsia="en-KE"/>
              </w:rPr>
            </w:pPr>
            <w:r w:rsidRPr="00661D75">
              <w:rPr>
                <w:iCs/>
                <w:lang w:val="en-US" w:eastAsia="en-KE"/>
              </w:rPr>
              <w:t>SMART</w:t>
            </w:r>
          </w:p>
        </w:tc>
        <w:tc>
          <w:tcPr>
            <w:tcW w:w="5080" w:type="dxa"/>
            <w:tcBorders>
              <w:top w:val="nil"/>
              <w:left w:val="nil"/>
              <w:bottom w:val="nil"/>
              <w:right w:val="nil"/>
            </w:tcBorders>
            <w:shd w:val="clear" w:color="auto" w:fill="auto"/>
            <w:vAlign w:val="center"/>
            <w:hideMark/>
          </w:tcPr>
          <w:p w14:paraId="79873F72" w14:textId="77777777" w:rsidR="004A17D0" w:rsidRPr="00661D75" w:rsidRDefault="004A17D0" w:rsidP="00420FAC">
            <w:pPr>
              <w:rPr>
                <w:iCs/>
                <w:lang w:val="en-KE" w:eastAsia="en-KE"/>
              </w:rPr>
            </w:pPr>
            <w:r w:rsidRPr="00661D75">
              <w:rPr>
                <w:iCs/>
                <w:lang w:val="en-US" w:eastAsia="en-KE"/>
              </w:rPr>
              <w:t>Standardized Monitoring and Assessment of Relief and Transitions</w:t>
            </w:r>
          </w:p>
        </w:tc>
      </w:tr>
      <w:tr w:rsidR="00420FAC" w:rsidRPr="00661D75" w14:paraId="1BB4D1CC" w14:textId="77777777" w:rsidTr="004A17D0">
        <w:trPr>
          <w:trHeight w:val="330"/>
        </w:trPr>
        <w:tc>
          <w:tcPr>
            <w:tcW w:w="1520" w:type="dxa"/>
            <w:tcBorders>
              <w:top w:val="nil"/>
              <w:left w:val="nil"/>
              <w:bottom w:val="nil"/>
              <w:right w:val="nil"/>
            </w:tcBorders>
            <w:shd w:val="clear" w:color="auto" w:fill="auto"/>
            <w:vAlign w:val="center"/>
            <w:hideMark/>
          </w:tcPr>
          <w:p w14:paraId="31F4D65F" w14:textId="77777777" w:rsidR="004A17D0" w:rsidRPr="00661D75" w:rsidRDefault="004A17D0" w:rsidP="00420FAC">
            <w:pPr>
              <w:rPr>
                <w:iCs/>
                <w:lang w:val="en-KE" w:eastAsia="en-KE"/>
              </w:rPr>
            </w:pPr>
            <w:r w:rsidRPr="00661D75">
              <w:rPr>
                <w:iCs/>
                <w:lang w:val="en-US" w:eastAsia="en-KE"/>
              </w:rPr>
              <w:t>SPSS</w:t>
            </w:r>
          </w:p>
        </w:tc>
        <w:tc>
          <w:tcPr>
            <w:tcW w:w="5080" w:type="dxa"/>
            <w:tcBorders>
              <w:top w:val="nil"/>
              <w:left w:val="nil"/>
              <w:bottom w:val="nil"/>
              <w:right w:val="nil"/>
            </w:tcBorders>
            <w:shd w:val="clear" w:color="auto" w:fill="auto"/>
            <w:vAlign w:val="center"/>
            <w:hideMark/>
          </w:tcPr>
          <w:p w14:paraId="18D0C225" w14:textId="77777777" w:rsidR="004A17D0" w:rsidRPr="00661D75" w:rsidRDefault="004A17D0" w:rsidP="00420FAC">
            <w:pPr>
              <w:rPr>
                <w:iCs/>
                <w:lang w:val="en-KE" w:eastAsia="en-KE"/>
              </w:rPr>
            </w:pPr>
            <w:r w:rsidRPr="00661D75">
              <w:rPr>
                <w:iCs/>
                <w:lang w:val="en-US" w:eastAsia="en-KE"/>
              </w:rPr>
              <w:t>Statistical package for Social Sciences</w:t>
            </w:r>
          </w:p>
        </w:tc>
      </w:tr>
      <w:tr w:rsidR="00420FAC" w:rsidRPr="00661D75" w14:paraId="45D57383" w14:textId="77777777" w:rsidTr="004A17D0">
        <w:trPr>
          <w:trHeight w:val="330"/>
        </w:trPr>
        <w:tc>
          <w:tcPr>
            <w:tcW w:w="1520" w:type="dxa"/>
            <w:tcBorders>
              <w:top w:val="nil"/>
              <w:left w:val="nil"/>
              <w:bottom w:val="nil"/>
              <w:right w:val="nil"/>
            </w:tcBorders>
            <w:shd w:val="clear" w:color="auto" w:fill="auto"/>
            <w:vAlign w:val="center"/>
            <w:hideMark/>
          </w:tcPr>
          <w:p w14:paraId="02E1361C" w14:textId="77777777" w:rsidR="004A17D0" w:rsidRPr="00661D75" w:rsidRDefault="004A17D0" w:rsidP="00420FAC">
            <w:pPr>
              <w:rPr>
                <w:iCs/>
                <w:lang w:val="en-KE" w:eastAsia="en-KE"/>
              </w:rPr>
            </w:pPr>
            <w:r w:rsidRPr="00661D75">
              <w:rPr>
                <w:iCs/>
                <w:lang w:val="en-US" w:eastAsia="en-KE"/>
              </w:rPr>
              <w:lastRenderedPageBreak/>
              <w:t>U5</w:t>
            </w:r>
          </w:p>
        </w:tc>
        <w:tc>
          <w:tcPr>
            <w:tcW w:w="5080" w:type="dxa"/>
            <w:tcBorders>
              <w:top w:val="nil"/>
              <w:left w:val="nil"/>
              <w:bottom w:val="nil"/>
              <w:right w:val="nil"/>
            </w:tcBorders>
            <w:shd w:val="clear" w:color="auto" w:fill="auto"/>
            <w:vAlign w:val="center"/>
            <w:hideMark/>
          </w:tcPr>
          <w:p w14:paraId="14E59017" w14:textId="77777777" w:rsidR="004A17D0" w:rsidRPr="00661D75" w:rsidRDefault="004A17D0" w:rsidP="00420FAC">
            <w:pPr>
              <w:rPr>
                <w:iCs/>
                <w:lang w:val="en-KE" w:eastAsia="en-KE"/>
              </w:rPr>
            </w:pPr>
            <w:r w:rsidRPr="00661D75">
              <w:rPr>
                <w:iCs/>
                <w:lang w:val="en-US" w:eastAsia="en-KE"/>
              </w:rPr>
              <w:t>Under Five Years Old</w:t>
            </w:r>
          </w:p>
        </w:tc>
      </w:tr>
      <w:tr w:rsidR="00420FAC" w:rsidRPr="00661D75" w14:paraId="6A2936E8" w14:textId="77777777" w:rsidTr="004A17D0">
        <w:trPr>
          <w:trHeight w:val="330"/>
        </w:trPr>
        <w:tc>
          <w:tcPr>
            <w:tcW w:w="1520" w:type="dxa"/>
            <w:tcBorders>
              <w:top w:val="nil"/>
              <w:left w:val="nil"/>
              <w:bottom w:val="nil"/>
              <w:right w:val="nil"/>
            </w:tcBorders>
            <w:shd w:val="clear" w:color="auto" w:fill="auto"/>
            <w:vAlign w:val="center"/>
            <w:hideMark/>
          </w:tcPr>
          <w:p w14:paraId="28BD3911" w14:textId="77777777" w:rsidR="004A17D0" w:rsidRPr="00661D75" w:rsidRDefault="004A17D0" w:rsidP="00420FAC">
            <w:pPr>
              <w:rPr>
                <w:iCs/>
                <w:lang w:val="en-KE" w:eastAsia="en-KE"/>
              </w:rPr>
            </w:pPr>
            <w:r w:rsidRPr="00661D75">
              <w:rPr>
                <w:iCs/>
                <w:lang w:val="en-US" w:eastAsia="en-KE"/>
              </w:rPr>
              <w:t>UN</w:t>
            </w:r>
          </w:p>
        </w:tc>
        <w:tc>
          <w:tcPr>
            <w:tcW w:w="5080" w:type="dxa"/>
            <w:tcBorders>
              <w:top w:val="nil"/>
              <w:left w:val="nil"/>
              <w:bottom w:val="nil"/>
              <w:right w:val="nil"/>
            </w:tcBorders>
            <w:shd w:val="clear" w:color="auto" w:fill="auto"/>
            <w:vAlign w:val="center"/>
            <w:hideMark/>
          </w:tcPr>
          <w:p w14:paraId="7E42F7CC" w14:textId="77777777" w:rsidR="004A17D0" w:rsidRPr="00661D75" w:rsidRDefault="004A17D0" w:rsidP="00420FAC">
            <w:pPr>
              <w:rPr>
                <w:iCs/>
                <w:lang w:val="en-KE" w:eastAsia="en-KE"/>
              </w:rPr>
            </w:pPr>
            <w:r w:rsidRPr="00661D75">
              <w:rPr>
                <w:iCs/>
                <w:lang w:val="en-US" w:eastAsia="en-KE"/>
              </w:rPr>
              <w:t>United Nations</w:t>
            </w:r>
          </w:p>
        </w:tc>
      </w:tr>
      <w:tr w:rsidR="00420FAC" w:rsidRPr="00661D75" w14:paraId="4C309189" w14:textId="77777777" w:rsidTr="004A17D0">
        <w:trPr>
          <w:trHeight w:val="330"/>
        </w:trPr>
        <w:tc>
          <w:tcPr>
            <w:tcW w:w="1520" w:type="dxa"/>
            <w:tcBorders>
              <w:top w:val="nil"/>
              <w:left w:val="nil"/>
              <w:bottom w:val="nil"/>
              <w:right w:val="nil"/>
            </w:tcBorders>
            <w:shd w:val="clear" w:color="auto" w:fill="auto"/>
            <w:vAlign w:val="center"/>
            <w:hideMark/>
          </w:tcPr>
          <w:p w14:paraId="4A2C4E67" w14:textId="77777777" w:rsidR="004A17D0" w:rsidRPr="00661D75" w:rsidRDefault="004A17D0" w:rsidP="00420FAC">
            <w:pPr>
              <w:rPr>
                <w:iCs/>
                <w:lang w:val="en-KE" w:eastAsia="en-KE"/>
              </w:rPr>
            </w:pPr>
            <w:r w:rsidRPr="00661D75">
              <w:rPr>
                <w:iCs/>
                <w:lang w:val="en-US" w:eastAsia="en-KE"/>
              </w:rPr>
              <w:t>UNICEF</w:t>
            </w:r>
          </w:p>
        </w:tc>
        <w:tc>
          <w:tcPr>
            <w:tcW w:w="5080" w:type="dxa"/>
            <w:tcBorders>
              <w:top w:val="nil"/>
              <w:left w:val="nil"/>
              <w:bottom w:val="nil"/>
              <w:right w:val="nil"/>
            </w:tcBorders>
            <w:shd w:val="clear" w:color="auto" w:fill="auto"/>
            <w:vAlign w:val="center"/>
            <w:hideMark/>
          </w:tcPr>
          <w:p w14:paraId="20C8A361" w14:textId="77777777" w:rsidR="004A17D0" w:rsidRPr="00661D75" w:rsidRDefault="004A17D0" w:rsidP="00420FAC">
            <w:pPr>
              <w:rPr>
                <w:iCs/>
                <w:lang w:val="en-KE" w:eastAsia="en-KE"/>
              </w:rPr>
            </w:pPr>
            <w:r w:rsidRPr="00661D75">
              <w:rPr>
                <w:iCs/>
                <w:lang w:val="en-US" w:eastAsia="en-KE"/>
              </w:rPr>
              <w:t>United Nations Children’s Fund</w:t>
            </w:r>
          </w:p>
        </w:tc>
      </w:tr>
      <w:tr w:rsidR="00420FAC" w:rsidRPr="00661D75" w14:paraId="420026F3" w14:textId="77777777" w:rsidTr="004A17D0">
        <w:trPr>
          <w:trHeight w:val="330"/>
        </w:trPr>
        <w:tc>
          <w:tcPr>
            <w:tcW w:w="1520" w:type="dxa"/>
            <w:tcBorders>
              <w:top w:val="nil"/>
              <w:left w:val="nil"/>
              <w:bottom w:val="nil"/>
              <w:right w:val="nil"/>
            </w:tcBorders>
            <w:shd w:val="clear" w:color="auto" w:fill="auto"/>
            <w:vAlign w:val="center"/>
            <w:hideMark/>
          </w:tcPr>
          <w:p w14:paraId="7E4C11AD" w14:textId="77777777" w:rsidR="004A17D0" w:rsidRPr="00661D75" w:rsidRDefault="004A17D0" w:rsidP="00420FAC">
            <w:pPr>
              <w:rPr>
                <w:iCs/>
                <w:lang w:val="en-KE" w:eastAsia="en-KE"/>
              </w:rPr>
            </w:pPr>
            <w:r w:rsidRPr="00661D75">
              <w:rPr>
                <w:iCs/>
                <w:lang w:eastAsia="en-KE"/>
              </w:rPr>
              <w:t>USAID</w:t>
            </w:r>
          </w:p>
        </w:tc>
        <w:tc>
          <w:tcPr>
            <w:tcW w:w="5080" w:type="dxa"/>
            <w:tcBorders>
              <w:top w:val="nil"/>
              <w:left w:val="nil"/>
              <w:bottom w:val="nil"/>
              <w:right w:val="nil"/>
            </w:tcBorders>
            <w:shd w:val="clear" w:color="auto" w:fill="auto"/>
            <w:vAlign w:val="center"/>
            <w:hideMark/>
          </w:tcPr>
          <w:p w14:paraId="474F230B" w14:textId="77777777" w:rsidR="004A17D0" w:rsidRPr="00661D75" w:rsidRDefault="004A17D0" w:rsidP="00420FAC">
            <w:pPr>
              <w:rPr>
                <w:iCs/>
                <w:lang w:val="en-KE" w:eastAsia="en-KE"/>
              </w:rPr>
            </w:pPr>
            <w:r w:rsidRPr="00661D75">
              <w:rPr>
                <w:iCs/>
                <w:lang w:eastAsia="en-KE"/>
              </w:rPr>
              <w:t>United States Agency for International Development</w:t>
            </w:r>
          </w:p>
        </w:tc>
      </w:tr>
      <w:tr w:rsidR="00420FAC" w:rsidRPr="00661D75" w14:paraId="4A3512CB" w14:textId="77777777" w:rsidTr="004A17D0">
        <w:trPr>
          <w:trHeight w:val="330"/>
        </w:trPr>
        <w:tc>
          <w:tcPr>
            <w:tcW w:w="1520" w:type="dxa"/>
            <w:tcBorders>
              <w:top w:val="nil"/>
              <w:left w:val="nil"/>
              <w:bottom w:val="nil"/>
              <w:right w:val="nil"/>
            </w:tcBorders>
            <w:shd w:val="clear" w:color="auto" w:fill="auto"/>
            <w:vAlign w:val="center"/>
            <w:hideMark/>
          </w:tcPr>
          <w:p w14:paraId="1AE31CD5" w14:textId="77777777" w:rsidR="004A17D0" w:rsidRPr="00661D75" w:rsidRDefault="004A17D0" w:rsidP="00420FAC">
            <w:pPr>
              <w:rPr>
                <w:iCs/>
                <w:lang w:val="en-KE" w:eastAsia="en-KE"/>
              </w:rPr>
            </w:pPr>
            <w:r w:rsidRPr="00661D75">
              <w:rPr>
                <w:iCs/>
                <w:lang w:val="en-US" w:eastAsia="en-KE"/>
              </w:rPr>
              <w:t>WASH</w:t>
            </w:r>
          </w:p>
        </w:tc>
        <w:tc>
          <w:tcPr>
            <w:tcW w:w="5080" w:type="dxa"/>
            <w:tcBorders>
              <w:top w:val="nil"/>
              <w:left w:val="nil"/>
              <w:bottom w:val="nil"/>
              <w:right w:val="nil"/>
            </w:tcBorders>
            <w:shd w:val="clear" w:color="auto" w:fill="auto"/>
            <w:vAlign w:val="center"/>
            <w:hideMark/>
          </w:tcPr>
          <w:p w14:paraId="15D5E814" w14:textId="77777777" w:rsidR="004A17D0" w:rsidRPr="00661D75" w:rsidRDefault="004A17D0" w:rsidP="00420FAC">
            <w:pPr>
              <w:rPr>
                <w:iCs/>
                <w:lang w:val="en-KE" w:eastAsia="en-KE"/>
              </w:rPr>
            </w:pPr>
            <w:r w:rsidRPr="00661D75">
              <w:rPr>
                <w:iCs/>
                <w:lang w:val="en-US" w:eastAsia="en-KE"/>
              </w:rPr>
              <w:t>Water Sanitation and Hygiene</w:t>
            </w:r>
          </w:p>
        </w:tc>
      </w:tr>
      <w:tr w:rsidR="00420FAC" w:rsidRPr="00661D75" w14:paraId="6265228C" w14:textId="77777777" w:rsidTr="004A17D0">
        <w:trPr>
          <w:trHeight w:val="330"/>
        </w:trPr>
        <w:tc>
          <w:tcPr>
            <w:tcW w:w="1520" w:type="dxa"/>
            <w:tcBorders>
              <w:top w:val="nil"/>
              <w:left w:val="nil"/>
              <w:bottom w:val="nil"/>
              <w:right w:val="nil"/>
            </w:tcBorders>
            <w:shd w:val="clear" w:color="auto" w:fill="auto"/>
            <w:vAlign w:val="center"/>
            <w:hideMark/>
          </w:tcPr>
          <w:p w14:paraId="711ED32E" w14:textId="77777777" w:rsidR="004A17D0" w:rsidRPr="00661D75" w:rsidRDefault="004A17D0" w:rsidP="00420FAC">
            <w:pPr>
              <w:rPr>
                <w:iCs/>
                <w:lang w:val="en-KE" w:eastAsia="en-KE"/>
              </w:rPr>
            </w:pPr>
            <w:r w:rsidRPr="00661D75">
              <w:rPr>
                <w:iCs/>
                <w:lang w:val="en-US" w:eastAsia="en-KE"/>
              </w:rPr>
              <w:t>WAZ</w:t>
            </w:r>
          </w:p>
        </w:tc>
        <w:tc>
          <w:tcPr>
            <w:tcW w:w="5080" w:type="dxa"/>
            <w:tcBorders>
              <w:top w:val="nil"/>
              <w:left w:val="nil"/>
              <w:bottom w:val="nil"/>
              <w:right w:val="nil"/>
            </w:tcBorders>
            <w:shd w:val="clear" w:color="auto" w:fill="auto"/>
            <w:vAlign w:val="center"/>
            <w:hideMark/>
          </w:tcPr>
          <w:p w14:paraId="469878F5" w14:textId="77777777" w:rsidR="004A17D0" w:rsidRPr="00661D75" w:rsidRDefault="004A17D0" w:rsidP="00420FAC">
            <w:pPr>
              <w:rPr>
                <w:iCs/>
                <w:lang w:val="en-KE" w:eastAsia="en-KE"/>
              </w:rPr>
            </w:pPr>
            <w:r w:rsidRPr="00661D75">
              <w:rPr>
                <w:iCs/>
                <w:lang w:val="en-US" w:eastAsia="en-KE"/>
              </w:rPr>
              <w:t>Weight for Age -Z score</w:t>
            </w:r>
          </w:p>
        </w:tc>
      </w:tr>
      <w:tr w:rsidR="00420FAC" w:rsidRPr="00661D75" w14:paraId="7F0D76C8" w14:textId="77777777" w:rsidTr="004A17D0">
        <w:trPr>
          <w:trHeight w:val="330"/>
        </w:trPr>
        <w:tc>
          <w:tcPr>
            <w:tcW w:w="1520" w:type="dxa"/>
            <w:tcBorders>
              <w:top w:val="nil"/>
              <w:left w:val="nil"/>
              <w:bottom w:val="nil"/>
              <w:right w:val="nil"/>
            </w:tcBorders>
            <w:shd w:val="clear" w:color="auto" w:fill="auto"/>
            <w:vAlign w:val="center"/>
            <w:hideMark/>
          </w:tcPr>
          <w:p w14:paraId="5CEB4301" w14:textId="77777777" w:rsidR="004A17D0" w:rsidRPr="00661D75" w:rsidRDefault="004A17D0" w:rsidP="00420FAC">
            <w:pPr>
              <w:rPr>
                <w:iCs/>
                <w:lang w:val="en-KE" w:eastAsia="en-KE"/>
              </w:rPr>
            </w:pPr>
            <w:r w:rsidRPr="00661D75">
              <w:rPr>
                <w:iCs/>
                <w:lang w:val="en-US" w:eastAsia="en-KE"/>
              </w:rPr>
              <w:t>WFP</w:t>
            </w:r>
          </w:p>
        </w:tc>
        <w:tc>
          <w:tcPr>
            <w:tcW w:w="5080" w:type="dxa"/>
            <w:tcBorders>
              <w:top w:val="nil"/>
              <w:left w:val="nil"/>
              <w:bottom w:val="nil"/>
              <w:right w:val="nil"/>
            </w:tcBorders>
            <w:shd w:val="clear" w:color="auto" w:fill="auto"/>
            <w:vAlign w:val="center"/>
            <w:hideMark/>
          </w:tcPr>
          <w:p w14:paraId="487657A7" w14:textId="77777777" w:rsidR="004A17D0" w:rsidRPr="00661D75" w:rsidRDefault="004A17D0" w:rsidP="00420FAC">
            <w:pPr>
              <w:rPr>
                <w:iCs/>
                <w:lang w:val="en-KE" w:eastAsia="en-KE"/>
              </w:rPr>
            </w:pPr>
            <w:r w:rsidRPr="00661D75">
              <w:rPr>
                <w:iCs/>
                <w:lang w:val="en-US" w:eastAsia="en-KE"/>
              </w:rPr>
              <w:t>World Food Programme</w:t>
            </w:r>
          </w:p>
        </w:tc>
      </w:tr>
      <w:tr w:rsidR="00420FAC" w:rsidRPr="00661D75" w14:paraId="6E4F583C" w14:textId="77777777" w:rsidTr="004A17D0">
        <w:trPr>
          <w:trHeight w:val="330"/>
        </w:trPr>
        <w:tc>
          <w:tcPr>
            <w:tcW w:w="1520" w:type="dxa"/>
            <w:tcBorders>
              <w:top w:val="nil"/>
              <w:left w:val="nil"/>
              <w:bottom w:val="nil"/>
              <w:right w:val="nil"/>
            </w:tcBorders>
            <w:shd w:val="clear" w:color="auto" w:fill="auto"/>
            <w:vAlign w:val="center"/>
            <w:hideMark/>
          </w:tcPr>
          <w:p w14:paraId="4292E40C" w14:textId="77777777" w:rsidR="004A17D0" w:rsidRPr="00661D75" w:rsidRDefault="004A17D0" w:rsidP="00420FAC">
            <w:pPr>
              <w:rPr>
                <w:iCs/>
                <w:lang w:val="en-KE" w:eastAsia="en-KE"/>
              </w:rPr>
            </w:pPr>
            <w:r w:rsidRPr="00661D75">
              <w:rPr>
                <w:iCs/>
                <w:lang w:val="en-US" w:eastAsia="en-KE"/>
              </w:rPr>
              <w:t>WHO</w:t>
            </w:r>
          </w:p>
        </w:tc>
        <w:tc>
          <w:tcPr>
            <w:tcW w:w="5080" w:type="dxa"/>
            <w:tcBorders>
              <w:top w:val="nil"/>
              <w:left w:val="nil"/>
              <w:bottom w:val="nil"/>
              <w:right w:val="nil"/>
            </w:tcBorders>
            <w:shd w:val="clear" w:color="auto" w:fill="auto"/>
            <w:vAlign w:val="center"/>
            <w:hideMark/>
          </w:tcPr>
          <w:p w14:paraId="184370E9" w14:textId="77777777" w:rsidR="004A17D0" w:rsidRPr="00661D75" w:rsidRDefault="004A17D0" w:rsidP="00420FAC">
            <w:pPr>
              <w:rPr>
                <w:iCs/>
                <w:lang w:val="en-KE" w:eastAsia="en-KE"/>
              </w:rPr>
            </w:pPr>
            <w:r w:rsidRPr="00661D75">
              <w:rPr>
                <w:iCs/>
                <w:lang w:val="en-US" w:eastAsia="en-KE"/>
              </w:rPr>
              <w:t>World Health Organization</w:t>
            </w:r>
          </w:p>
        </w:tc>
      </w:tr>
      <w:tr w:rsidR="00420FAC" w:rsidRPr="00661D75" w14:paraId="07902587" w14:textId="77777777" w:rsidTr="004A17D0">
        <w:trPr>
          <w:trHeight w:val="330"/>
        </w:trPr>
        <w:tc>
          <w:tcPr>
            <w:tcW w:w="1520" w:type="dxa"/>
            <w:tcBorders>
              <w:top w:val="nil"/>
              <w:left w:val="nil"/>
              <w:bottom w:val="nil"/>
              <w:right w:val="nil"/>
            </w:tcBorders>
            <w:shd w:val="clear" w:color="auto" w:fill="auto"/>
            <w:vAlign w:val="center"/>
            <w:hideMark/>
          </w:tcPr>
          <w:p w14:paraId="74F8DB79" w14:textId="77777777" w:rsidR="004A17D0" w:rsidRPr="00661D75" w:rsidRDefault="004A17D0" w:rsidP="00420FAC">
            <w:pPr>
              <w:rPr>
                <w:iCs/>
                <w:lang w:val="en-KE" w:eastAsia="en-KE"/>
              </w:rPr>
            </w:pPr>
            <w:r w:rsidRPr="00661D75">
              <w:rPr>
                <w:iCs/>
                <w:lang w:val="en-US" w:eastAsia="en-KE"/>
              </w:rPr>
              <w:t>WHO-GS</w:t>
            </w:r>
          </w:p>
        </w:tc>
        <w:tc>
          <w:tcPr>
            <w:tcW w:w="5080" w:type="dxa"/>
            <w:tcBorders>
              <w:top w:val="nil"/>
              <w:left w:val="nil"/>
              <w:bottom w:val="nil"/>
              <w:right w:val="nil"/>
            </w:tcBorders>
            <w:shd w:val="clear" w:color="auto" w:fill="auto"/>
            <w:vAlign w:val="center"/>
            <w:hideMark/>
          </w:tcPr>
          <w:p w14:paraId="0A089D88" w14:textId="77777777" w:rsidR="004A17D0" w:rsidRPr="00661D75" w:rsidRDefault="004A17D0" w:rsidP="00420FAC">
            <w:pPr>
              <w:rPr>
                <w:iCs/>
                <w:lang w:val="en-KE" w:eastAsia="en-KE"/>
              </w:rPr>
            </w:pPr>
            <w:r w:rsidRPr="00661D75">
              <w:rPr>
                <w:iCs/>
                <w:lang w:val="en-US" w:eastAsia="en-KE"/>
              </w:rPr>
              <w:t>World Health Organisation Growth Standards</w:t>
            </w:r>
          </w:p>
        </w:tc>
      </w:tr>
      <w:tr w:rsidR="00420FAC" w:rsidRPr="00661D75" w14:paraId="1D0455B3" w14:textId="77777777" w:rsidTr="004A17D0">
        <w:trPr>
          <w:trHeight w:val="330"/>
        </w:trPr>
        <w:tc>
          <w:tcPr>
            <w:tcW w:w="1520" w:type="dxa"/>
            <w:tcBorders>
              <w:top w:val="nil"/>
              <w:left w:val="nil"/>
              <w:bottom w:val="nil"/>
              <w:right w:val="nil"/>
            </w:tcBorders>
            <w:shd w:val="clear" w:color="auto" w:fill="auto"/>
            <w:vAlign w:val="center"/>
            <w:hideMark/>
          </w:tcPr>
          <w:p w14:paraId="3FFC6B95" w14:textId="77777777" w:rsidR="004A17D0" w:rsidRPr="00661D75" w:rsidRDefault="004A17D0" w:rsidP="00420FAC">
            <w:pPr>
              <w:rPr>
                <w:iCs/>
                <w:lang w:val="en-KE" w:eastAsia="en-KE"/>
              </w:rPr>
            </w:pPr>
            <w:r w:rsidRPr="00661D75">
              <w:rPr>
                <w:iCs/>
                <w:lang w:val="en-US" w:eastAsia="en-KE"/>
              </w:rPr>
              <w:t>WHZ</w:t>
            </w:r>
          </w:p>
        </w:tc>
        <w:tc>
          <w:tcPr>
            <w:tcW w:w="5080" w:type="dxa"/>
            <w:tcBorders>
              <w:top w:val="nil"/>
              <w:left w:val="nil"/>
              <w:bottom w:val="nil"/>
              <w:right w:val="nil"/>
            </w:tcBorders>
            <w:shd w:val="clear" w:color="auto" w:fill="auto"/>
            <w:vAlign w:val="center"/>
            <w:hideMark/>
          </w:tcPr>
          <w:p w14:paraId="51B80E2B" w14:textId="77777777" w:rsidR="004A17D0" w:rsidRPr="00661D75" w:rsidRDefault="004A17D0" w:rsidP="00420FAC">
            <w:pPr>
              <w:rPr>
                <w:iCs/>
                <w:lang w:val="en-KE" w:eastAsia="en-KE"/>
              </w:rPr>
            </w:pPr>
            <w:r w:rsidRPr="00661D75">
              <w:rPr>
                <w:iCs/>
                <w:lang w:val="en-US" w:eastAsia="en-KE"/>
              </w:rPr>
              <w:t>Weight for Height -Z score</w:t>
            </w:r>
          </w:p>
        </w:tc>
      </w:tr>
      <w:tr w:rsidR="00420FAC" w:rsidRPr="00661D75" w14:paraId="29DC2312" w14:textId="77777777" w:rsidTr="004A17D0">
        <w:trPr>
          <w:trHeight w:val="330"/>
        </w:trPr>
        <w:tc>
          <w:tcPr>
            <w:tcW w:w="1520" w:type="dxa"/>
            <w:tcBorders>
              <w:top w:val="nil"/>
              <w:left w:val="nil"/>
              <w:bottom w:val="nil"/>
              <w:right w:val="nil"/>
            </w:tcBorders>
            <w:shd w:val="clear" w:color="auto" w:fill="auto"/>
            <w:vAlign w:val="center"/>
            <w:hideMark/>
          </w:tcPr>
          <w:p w14:paraId="4A5871D8" w14:textId="77777777" w:rsidR="004A17D0" w:rsidRPr="00661D75" w:rsidRDefault="004A17D0" w:rsidP="00420FAC">
            <w:pPr>
              <w:rPr>
                <w:iCs/>
                <w:lang w:val="en-KE" w:eastAsia="en-KE"/>
              </w:rPr>
            </w:pPr>
            <w:r w:rsidRPr="00661D75">
              <w:rPr>
                <w:iCs/>
                <w:lang w:val="en-US" w:eastAsia="en-KE"/>
              </w:rPr>
              <w:t>WRA</w:t>
            </w:r>
          </w:p>
        </w:tc>
        <w:tc>
          <w:tcPr>
            <w:tcW w:w="5080" w:type="dxa"/>
            <w:tcBorders>
              <w:top w:val="nil"/>
              <w:left w:val="nil"/>
              <w:bottom w:val="nil"/>
              <w:right w:val="nil"/>
            </w:tcBorders>
            <w:shd w:val="clear" w:color="auto" w:fill="auto"/>
            <w:vAlign w:val="center"/>
            <w:hideMark/>
          </w:tcPr>
          <w:p w14:paraId="3E143FB0" w14:textId="77777777" w:rsidR="004A17D0" w:rsidRPr="00661D75" w:rsidRDefault="004A17D0" w:rsidP="00420FAC">
            <w:pPr>
              <w:rPr>
                <w:iCs/>
                <w:lang w:val="en-KE" w:eastAsia="en-KE"/>
              </w:rPr>
            </w:pPr>
            <w:r w:rsidRPr="00661D75">
              <w:rPr>
                <w:iCs/>
                <w:lang w:val="en-US" w:eastAsia="en-KE"/>
              </w:rPr>
              <w:t>Women of Reproductive Age</w:t>
            </w:r>
          </w:p>
        </w:tc>
      </w:tr>
    </w:tbl>
    <w:p w14:paraId="643A46F5" w14:textId="77777777" w:rsidR="007F09C0" w:rsidRPr="007F09C0" w:rsidRDefault="007F09C0">
      <w:pPr>
        <w:rPr>
          <w:i/>
          <w:iCs/>
        </w:rPr>
      </w:pPr>
    </w:p>
    <w:p w14:paraId="11BCF921" w14:textId="77777777" w:rsidR="00BC28CE" w:rsidRDefault="00000000">
      <w:r>
        <w:br w:type="page"/>
      </w:r>
    </w:p>
    <w:p w14:paraId="19AE1C6A" w14:textId="77777777" w:rsidR="00BC28CE" w:rsidRDefault="00000000">
      <w:pPr>
        <w:pStyle w:val="Heading1"/>
      </w:pPr>
      <w:bookmarkStart w:id="4" w:name="executive-summary"/>
      <w:bookmarkStart w:id="5" w:name="_Toc161945670"/>
      <w:bookmarkEnd w:id="2"/>
      <w:r>
        <w:lastRenderedPageBreak/>
        <w:t>Executive Summary</w:t>
      </w:r>
      <w:bookmarkEnd w:id="5"/>
    </w:p>
    <w:p w14:paraId="642BCBB0" w14:textId="34C76C5F" w:rsidR="00C64184" w:rsidRDefault="00C64184" w:rsidP="008B30B8">
      <w:pPr>
        <w:jc w:val="both"/>
      </w:pPr>
      <w:r w:rsidRPr="00C64184">
        <w:t xml:space="preserve">The Isiolo County SMART survey, conducted using the innovative SMART+ infrastructure, was led by the Isiolo County Health Department's nutrition division, in collaboration with various stakeholders within the county. Technical support was provided by Action Against </w:t>
      </w:r>
      <w:r w:rsidRPr="00C64184">
        <w:t>Hunger SMART</w:t>
      </w:r>
      <w:r w:rsidRPr="00C64184">
        <w:t xml:space="preserve"> team, ensuring the seamless implementation of the survey.</w:t>
      </w:r>
      <w:r>
        <w:t xml:space="preserve"> </w:t>
      </w:r>
      <w:r w:rsidRPr="00C64184">
        <w:t>It was conducted from late January to early February 2024, aligning with the short dry/lean season.</w:t>
      </w:r>
    </w:p>
    <w:p w14:paraId="6CE1482A" w14:textId="14742F2E" w:rsidR="00C64184" w:rsidRDefault="00C64184" w:rsidP="008B30B8">
      <w:pPr>
        <w:jc w:val="both"/>
      </w:pPr>
      <w:r w:rsidRPr="00C64184">
        <w:t>The primary goal was to determine the prevalence of acute malnutrition among children 6-59 months and women of reproductive age. Specific objectives included assessing malnutrition prevalence, morbidities, health-seeking behavior, and coverage of interventions.</w:t>
      </w:r>
      <w:r>
        <w:t xml:space="preserve"> </w:t>
      </w:r>
    </w:p>
    <w:p w14:paraId="5C196AFD" w14:textId="4006DBC6" w:rsidR="00C64184" w:rsidRDefault="008823F1" w:rsidP="008B30B8">
      <w:pPr>
        <w:jc w:val="both"/>
      </w:pPr>
      <w:r w:rsidRPr="008823F1">
        <w:t xml:space="preserve">The survey employed a cross-sectional and descriptive design, utilizing cluster sampling methodology to ensure representation across Isiolo County, Kenya. Sample size calculations were based on SMART+ infrastructure, considering expected prevalence, design effect, and desired precision. Two-stage cluster sampling was implemented, with clusters selected using Probability Proportional to Size (PPS) and households randomly chosen within clusters. Sampling procedures were facilitated by the SMART+ mobile application, with teams comprising one team leader and two enumerators conducting data collection. A five-day comprehensive training, overseen by supervisors from Action Against Hunger, Isiolo County, and SMART+ managers, equipped team members with necessary skills. Quality control mechanisms, including real-time data submission and standardization tests, ensured accuracy and consistency in data collection. Data analysis utilized SMART+ platform for certain indicators and SPSS version 23 for comprehensive </w:t>
      </w:r>
      <w:r w:rsidRPr="008823F1">
        <w:t>assessment.</w:t>
      </w:r>
    </w:p>
    <w:p w14:paraId="404360DD" w14:textId="57C4A881" w:rsidR="00C64184" w:rsidRDefault="00AD6057" w:rsidP="008B30B8">
      <w:pPr>
        <w:jc w:val="both"/>
      </w:pPr>
      <w:r w:rsidRPr="00AD6057">
        <w:t>The survey findings showed a Global Acute Malnutrition (GAM) prevalence in children 6-59 months of 13.7%, indicating a persistently high burden of malnutrition in Isiolo County. A summary of nutritional status and other indicators in the survey is presented in Table 3-1.</w:t>
      </w:r>
    </w:p>
    <w:p w14:paraId="3958D473" w14:textId="1AFBC012" w:rsidR="008B30B8" w:rsidRDefault="008B30B8" w:rsidP="008B30B8">
      <w:pPr>
        <w:jc w:val="both"/>
      </w:pPr>
      <w:r>
        <w:t>.</w:t>
      </w:r>
    </w:p>
    <w:p w14:paraId="20045B16"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6" w:name="_Toc161945710"/>
      <w:r>
        <w:rPr>
          <w:b/>
        </w:rPr>
        <w:t xml:space="preserve">Table </w:t>
      </w:r>
      <w:bookmarkStart w:id="7" w:name="execsummary"/>
      <w:r>
        <w:rPr>
          <w:b/>
        </w:rPr>
        <w:fldChar w:fldCharType="begin"/>
      </w:r>
      <w:r>
        <w:rPr>
          <w:b/>
        </w:rPr>
        <w:instrText>STYLEREF 1 \r</w:instrText>
      </w:r>
      <w:r w:rsidR="00822E50">
        <w:rPr>
          <w:b/>
        </w:rPr>
        <w:fldChar w:fldCharType="separate"/>
      </w:r>
      <w:r w:rsidR="00822E50">
        <w:rPr>
          <w:b/>
          <w:noProof/>
        </w:rPr>
        <w:t>3</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w:t>
      </w:r>
      <w:r>
        <w:rPr>
          <w:b/>
        </w:rPr>
        <w:fldChar w:fldCharType="end"/>
      </w:r>
      <w:bookmarkEnd w:id="7"/>
      <w:r>
        <w:rPr>
          <w:b/>
        </w:rPr>
        <w:t xml:space="preserve">: </w:t>
      </w:r>
      <w:r>
        <w:t>Summary of Findings</w:t>
      </w:r>
      <w:bookmarkEnd w:id="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5374"/>
        <w:gridCol w:w="1342"/>
        <w:gridCol w:w="1131"/>
        <w:gridCol w:w="1503"/>
      </w:tblGrid>
      <w:tr w:rsidR="00BC28CE" w:rsidRPr="00835CFC" w14:paraId="3B15CD4E" w14:textId="77777777" w:rsidTr="00835CFC">
        <w:trPr>
          <w:tblHeader/>
          <w:jc w:val="center"/>
        </w:trPr>
        <w:tc>
          <w:tcPr>
            <w:tcW w:w="0" w:type="auto"/>
            <w:shd w:val="clear" w:color="auto" w:fill="ECC182"/>
            <w:tcMar>
              <w:top w:w="0" w:type="dxa"/>
              <w:left w:w="0" w:type="dxa"/>
              <w:bottom w:w="0" w:type="dxa"/>
              <w:right w:w="0" w:type="dxa"/>
            </w:tcMar>
            <w:vAlign w:val="center"/>
          </w:tcPr>
          <w:p w14:paraId="1E64B7BE" w14:textId="77777777" w:rsidR="00BC28CE" w:rsidRPr="00835CFC" w:rsidRDefault="00000000">
            <w:pPr>
              <w:pBdr>
                <w:top w:val="none" w:sz="0" w:space="0" w:color="000000"/>
                <w:left w:val="none" w:sz="0" w:space="0" w:color="000000"/>
                <w:bottom w:val="none" w:sz="0" w:space="0" w:color="000000"/>
                <w:right w:val="none" w:sz="0" w:space="0" w:color="000000"/>
              </w:pBdr>
              <w:spacing w:before="20" w:after="20"/>
              <w:ind w:left="20" w:right="20"/>
              <w:jc w:val="center"/>
              <w:rPr>
                <w:rFonts w:asciiTheme="majorHAnsi" w:hAnsiTheme="majorHAnsi"/>
                <w:sz w:val="22"/>
                <w:szCs w:val="22"/>
              </w:rPr>
            </w:pPr>
            <w:r w:rsidRPr="00835CFC">
              <w:rPr>
                <w:rFonts w:asciiTheme="majorHAnsi" w:eastAsia="DejaVu Sans" w:hAnsiTheme="majorHAnsi" w:cs="DejaVu Sans"/>
                <w:b/>
                <w:color w:val="000000"/>
                <w:sz w:val="22"/>
                <w:szCs w:val="22"/>
              </w:rPr>
              <w:t>Indicator</w:t>
            </w:r>
          </w:p>
        </w:tc>
        <w:tc>
          <w:tcPr>
            <w:tcW w:w="0" w:type="auto"/>
            <w:shd w:val="clear" w:color="auto" w:fill="ECC182"/>
            <w:tcMar>
              <w:top w:w="0" w:type="dxa"/>
              <w:left w:w="0" w:type="dxa"/>
              <w:bottom w:w="0" w:type="dxa"/>
              <w:right w:w="0" w:type="dxa"/>
            </w:tcMar>
            <w:vAlign w:val="center"/>
          </w:tcPr>
          <w:p w14:paraId="18E9B7D6" w14:textId="77777777" w:rsidR="00BC28CE" w:rsidRPr="00835CFC" w:rsidRDefault="00000000">
            <w:pPr>
              <w:pBdr>
                <w:top w:val="none" w:sz="0" w:space="0" w:color="000000"/>
                <w:left w:val="none" w:sz="0" w:space="0" w:color="000000"/>
                <w:bottom w:val="none" w:sz="0" w:space="0" w:color="000000"/>
                <w:right w:val="none" w:sz="0" w:space="0" w:color="000000"/>
              </w:pBdr>
              <w:spacing w:before="20" w:after="20"/>
              <w:ind w:left="20" w:right="20"/>
              <w:jc w:val="center"/>
              <w:rPr>
                <w:rFonts w:asciiTheme="majorHAnsi" w:hAnsiTheme="majorHAnsi"/>
                <w:sz w:val="22"/>
                <w:szCs w:val="22"/>
              </w:rPr>
            </w:pPr>
            <w:r w:rsidRPr="00835CFC">
              <w:rPr>
                <w:rFonts w:asciiTheme="majorHAnsi" w:eastAsia="DejaVu Sans" w:hAnsiTheme="majorHAnsi" w:cs="DejaVu Sans"/>
                <w:b/>
                <w:color w:val="000000"/>
                <w:sz w:val="22"/>
                <w:szCs w:val="22"/>
              </w:rPr>
              <w:t>Denominator (N)</w:t>
            </w:r>
          </w:p>
        </w:tc>
        <w:tc>
          <w:tcPr>
            <w:tcW w:w="0" w:type="auto"/>
            <w:shd w:val="clear" w:color="auto" w:fill="ECC182"/>
            <w:tcMar>
              <w:top w:w="0" w:type="dxa"/>
              <w:left w:w="0" w:type="dxa"/>
              <w:bottom w:w="0" w:type="dxa"/>
              <w:right w:w="0" w:type="dxa"/>
            </w:tcMar>
            <w:vAlign w:val="center"/>
          </w:tcPr>
          <w:p w14:paraId="593E4EFA" w14:textId="77777777" w:rsidR="00BC28CE" w:rsidRPr="00835CFC" w:rsidRDefault="00000000">
            <w:pPr>
              <w:pBdr>
                <w:top w:val="none" w:sz="0" w:space="0" w:color="000000"/>
                <w:left w:val="none" w:sz="0" w:space="0" w:color="000000"/>
                <w:bottom w:val="none" w:sz="0" w:space="0" w:color="000000"/>
                <w:right w:val="none" w:sz="0" w:space="0" w:color="000000"/>
              </w:pBdr>
              <w:spacing w:before="20" w:after="20"/>
              <w:ind w:left="20" w:right="20"/>
              <w:jc w:val="center"/>
              <w:rPr>
                <w:rFonts w:asciiTheme="majorHAnsi" w:hAnsiTheme="majorHAnsi"/>
                <w:sz w:val="22"/>
                <w:szCs w:val="22"/>
              </w:rPr>
            </w:pPr>
            <w:r w:rsidRPr="00835CFC">
              <w:rPr>
                <w:rFonts w:asciiTheme="majorHAnsi" w:eastAsia="DejaVu Sans" w:hAnsiTheme="majorHAnsi" w:cs="DejaVu Sans"/>
                <w:b/>
                <w:color w:val="000000"/>
                <w:sz w:val="22"/>
                <w:szCs w:val="22"/>
              </w:rPr>
              <w:t>Numerator (n)</w:t>
            </w:r>
          </w:p>
        </w:tc>
        <w:tc>
          <w:tcPr>
            <w:tcW w:w="0" w:type="auto"/>
            <w:shd w:val="clear" w:color="auto" w:fill="ECC182"/>
            <w:tcMar>
              <w:top w:w="0" w:type="dxa"/>
              <w:left w:w="0" w:type="dxa"/>
              <w:bottom w:w="0" w:type="dxa"/>
              <w:right w:w="0" w:type="dxa"/>
            </w:tcMar>
            <w:vAlign w:val="center"/>
          </w:tcPr>
          <w:p w14:paraId="4668BC8A" w14:textId="77777777" w:rsidR="00BC28CE" w:rsidRPr="00835CFC" w:rsidRDefault="00000000">
            <w:pPr>
              <w:pBdr>
                <w:top w:val="none" w:sz="0" w:space="0" w:color="000000"/>
                <w:left w:val="none" w:sz="0" w:space="0" w:color="000000"/>
                <w:bottom w:val="none" w:sz="0" w:space="0" w:color="000000"/>
                <w:right w:val="none" w:sz="0" w:space="0" w:color="000000"/>
              </w:pBdr>
              <w:spacing w:before="20" w:after="20"/>
              <w:ind w:left="20" w:right="20"/>
              <w:jc w:val="center"/>
              <w:rPr>
                <w:rFonts w:asciiTheme="majorHAnsi" w:hAnsiTheme="majorHAnsi"/>
                <w:sz w:val="22"/>
                <w:szCs w:val="22"/>
              </w:rPr>
            </w:pPr>
            <w:r w:rsidRPr="00835CFC">
              <w:rPr>
                <w:rFonts w:asciiTheme="majorHAnsi" w:eastAsia="DejaVu Sans" w:hAnsiTheme="majorHAnsi" w:cs="DejaVu Sans"/>
                <w:b/>
                <w:color w:val="000000"/>
                <w:sz w:val="22"/>
                <w:szCs w:val="22"/>
              </w:rPr>
              <w:t>Result</w:t>
            </w:r>
            <w:r w:rsidRPr="00835CFC">
              <w:rPr>
                <w:rFonts w:asciiTheme="majorHAnsi" w:eastAsia="DejaVu Sans" w:hAnsiTheme="majorHAnsi" w:cs="DejaVu Sans"/>
                <w:b/>
                <w:color w:val="000000"/>
                <w:sz w:val="22"/>
                <w:szCs w:val="22"/>
              </w:rPr>
              <w:br/>
              <w:t>(95% CI)</w:t>
            </w:r>
          </w:p>
        </w:tc>
      </w:tr>
      <w:tr w:rsidR="00BC28CE" w:rsidRPr="00835CFC" w14:paraId="38ECCBDA" w14:textId="77777777" w:rsidTr="00835CFC">
        <w:trPr>
          <w:trHeight w:val="417"/>
          <w:jc w:val="center"/>
        </w:trPr>
        <w:tc>
          <w:tcPr>
            <w:tcW w:w="0" w:type="auto"/>
            <w:shd w:val="clear" w:color="auto" w:fill="F2F2F2"/>
            <w:tcMar>
              <w:top w:w="0" w:type="dxa"/>
              <w:left w:w="0" w:type="dxa"/>
              <w:bottom w:w="0" w:type="dxa"/>
              <w:right w:w="0" w:type="dxa"/>
            </w:tcMar>
            <w:vAlign w:val="center"/>
          </w:tcPr>
          <w:p w14:paraId="4E71F4A3"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GAM prevalence among children 6-59 months per WHZ &lt; -2SD*</w:t>
            </w:r>
          </w:p>
        </w:tc>
        <w:tc>
          <w:tcPr>
            <w:tcW w:w="0" w:type="auto"/>
            <w:shd w:val="clear" w:color="auto" w:fill="F2F2F2"/>
            <w:tcMar>
              <w:top w:w="0" w:type="dxa"/>
              <w:left w:w="0" w:type="dxa"/>
              <w:bottom w:w="0" w:type="dxa"/>
              <w:right w:w="0" w:type="dxa"/>
            </w:tcMar>
            <w:vAlign w:val="center"/>
          </w:tcPr>
          <w:p w14:paraId="04C3001D"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444</w:t>
            </w:r>
          </w:p>
        </w:tc>
        <w:tc>
          <w:tcPr>
            <w:tcW w:w="0" w:type="auto"/>
            <w:shd w:val="clear" w:color="auto" w:fill="F2F2F2"/>
            <w:tcMar>
              <w:top w:w="0" w:type="dxa"/>
              <w:left w:w="0" w:type="dxa"/>
              <w:bottom w:w="0" w:type="dxa"/>
              <w:right w:w="0" w:type="dxa"/>
            </w:tcMar>
            <w:vAlign w:val="center"/>
          </w:tcPr>
          <w:p w14:paraId="47E8056B"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61</w:t>
            </w:r>
          </w:p>
        </w:tc>
        <w:tc>
          <w:tcPr>
            <w:tcW w:w="0" w:type="auto"/>
            <w:shd w:val="clear" w:color="auto" w:fill="F2F2F2"/>
            <w:tcMar>
              <w:top w:w="0" w:type="dxa"/>
              <w:left w:w="0" w:type="dxa"/>
              <w:bottom w:w="0" w:type="dxa"/>
              <w:right w:w="0" w:type="dxa"/>
            </w:tcMar>
            <w:vAlign w:val="center"/>
          </w:tcPr>
          <w:p w14:paraId="2B24AC25"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13.7%</w:t>
            </w:r>
            <w:r w:rsidRPr="00835CFC">
              <w:rPr>
                <w:rFonts w:asciiTheme="majorHAnsi" w:eastAsia="DejaVu Sans" w:hAnsiTheme="majorHAnsi" w:cs="DejaVu Sans"/>
                <w:color w:val="000000"/>
                <w:sz w:val="22"/>
                <w:szCs w:val="22"/>
              </w:rPr>
              <w:br/>
              <w:t>(10.6%, 17.7%)</w:t>
            </w:r>
          </w:p>
        </w:tc>
      </w:tr>
      <w:tr w:rsidR="00BC28CE" w:rsidRPr="00835CFC" w14:paraId="79110F4E" w14:textId="77777777" w:rsidTr="00835CFC">
        <w:trPr>
          <w:trHeight w:val="271"/>
          <w:jc w:val="center"/>
        </w:trPr>
        <w:tc>
          <w:tcPr>
            <w:tcW w:w="0" w:type="auto"/>
            <w:shd w:val="clear" w:color="auto" w:fill="FAFAFA"/>
            <w:tcMar>
              <w:top w:w="0" w:type="dxa"/>
              <w:left w:w="0" w:type="dxa"/>
              <w:bottom w:w="0" w:type="dxa"/>
              <w:right w:w="0" w:type="dxa"/>
            </w:tcMar>
            <w:vAlign w:val="center"/>
          </w:tcPr>
          <w:p w14:paraId="6F553DD0"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SAM prevalence among children 6-59 months per WHZ &lt; -3SD</w:t>
            </w:r>
          </w:p>
        </w:tc>
        <w:tc>
          <w:tcPr>
            <w:tcW w:w="0" w:type="auto"/>
            <w:shd w:val="clear" w:color="auto" w:fill="FAFAFA"/>
            <w:tcMar>
              <w:top w:w="0" w:type="dxa"/>
              <w:left w:w="0" w:type="dxa"/>
              <w:bottom w:w="0" w:type="dxa"/>
              <w:right w:w="0" w:type="dxa"/>
            </w:tcMar>
            <w:vAlign w:val="center"/>
          </w:tcPr>
          <w:p w14:paraId="343149AD"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444</w:t>
            </w:r>
          </w:p>
        </w:tc>
        <w:tc>
          <w:tcPr>
            <w:tcW w:w="0" w:type="auto"/>
            <w:shd w:val="clear" w:color="auto" w:fill="FAFAFA"/>
            <w:tcMar>
              <w:top w:w="0" w:type="dxa"/>
              <w:left w:w="0" w:type="dxa"/>
              <w:bottom w:w="0" w:type="dxa"/>
              <w:right w:w="0" w:type="dxa"/>
            </w:tcMar>
            <w:vAlign w:val="center"/>
          </w:tcPr>
          <w:p w14:paraId="61E44817"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10</w:t>
            </w:r>
          </w:p>
        </w:tc>
        <w:tc>
          <w:tcPr>
            <w:tcW w:w="0" w:type="auto"/>
            <w:shd w:val="clear" w:color="auto" w:fill="FAFAFA"/>
            <w:tcMar>
              <w:top w:w="0" w:type="dxa"/>
              <w:left w:w="0" w:type="dxa"/>
              <w:bottom w:w="0" w:type="dxa"/>
              <w:right w:w="0" w:type="dxa"/>
            </w:tcMar>
            <w:vAlign w:val="center"/>
          </w:tcPr>
          <w:p w14:paraId="0DAE76D2"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2.3%</w:t>
            </w:r>
            <w:r w:rsidRPr="00835CFC">
              <w:rPr>
                <w:rFonts w:asciiTheme="majorHAnsi" w:eastAsia="DejaVu Sans" w:hAnsiTheme="majorHAnsi" w:cs="DejaVu Sans"/>
                <w:color w:val="000000"/>
                <w:sz w:val="22"/>
                <w:szCs w:val="22"/>
              </w:rPr>
              <w:br/>
              <w:t>(1.3%, 4.0%)</w:t>
            </w:r>
          </w:p>
        </w:tc>
      </w:tr>
      <w:tr w:rsidR="00BC28CE" w:rsidRPr="00835CFC" w14:paraId="4A1B0647" w14:textId="77777777" w:rsidTr="00835CFC">
        <w:trPr>
          <w:jc w:val="center"/>
        </w:trPr>
        <w:tc>
          <w:tcPr>
            <w:tcW w:w="0" w:type="auto"/>
            <w:shd w:val="clear" w:color="auto" w:fill="F2F2F2"/>
            <w:tcMar>
              <w:top w:w="0" w:type="dxa"/>
              <w:left w:w="0" w:type="dxa"/>
              <w:bottom w:w="0" w:type="dxa"/>
              <w:right w:w="0" w:type="dxa"/>
            </w:tcMar>
            <w:vAlign w:val="center"/>
          </w:tcPr>
          <w:p w14:paraId="1E852C4F"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GAM prevalence among children 6-59 months per MUAC &lt;125 mm</w:t>
            </w:r>
          </w:p>
        </w:tc>
        <w:tc>
          <w:tcPr>
            <w:tcW w:w="0" w:type="auto"/>
            <w:shd w:val="clear" w:color="auto" w:fill="F2F2F2"/>
            <w:tcMar>
              <w:top w:w="0" w:type="dxa"/>
              <w:left w:w="0" w:type="dxa"/>
              <w:bottom w:w="0" w:type="dxa"/>
              <w:right w:w="0" w:type="dxa"/>
            </w:tcMar>
            <w:vAlign w:val="center"/>
          </w:tcPr>
          <w:p w14:paraId="760187AC"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447</w:t>
            </w:r>
          </w:p>
        </w:tc>
        <w:tc>
          <w:tcPr>
            <w:tcW w:w="0" w:type="auto"/>
            <w:shd w:val="clear" w:color="auto" w:fill="F2F2F2"/>
            <w:tcMar>
              <w:top w:w="0" w:type="dxa"/>
              <w:left w:w="0" w:type="dxa"/>
              <w:bottom w:w="0" w:type="dxa"/>
              <w:right w:w="0" w:type="dxa"/>
            </w:tcMar>
            <w:vAlign w:val="center"/>
          </w:tcPr>
          <w:p w14:paraId="33BEBB6F"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 xml:space="preserve"> 8</w:t>
            </w:r>
          </w:p>
        </w:tc>
        <w:tc>
          <w:tcPr>
            <w:tcW w:w="0" w:type="auto"/>
            <w:shd w:val="clear" w:color="auto" w:fill="F2F2F2"/>
            <w:tcMar>
              <w:top w:w="0" w:type="dxa"/>
              <w:left w:w="0" w:type="dxa"/>
              <w:bottom w:w="0" w:type="dxa"/>
              <w:right w:w="0" w:type="dxa"/>
            </w:tcMar>
            <w:vAlign w:val="center"/>
          </w:tcPr>
          <w:p w14:paraId="3729652B"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1.8%</w:t>
            </w:r>
            <w:r w:rsidRPr="00835CFC">
              <w:rPr>
                <w:rFonts w:asciiTheme="majorHAnsi" w:eastAsia="DejaVu Sans" w:hAnsiTheme="majorHAnsi" w:cs="DejaVu Sans"/>
                <w:color w:val="000000"/>
                <w:sz w:val="22"/>
                <w:szCs w:val="22"/>
              </w:rPr>
              <w:br/>
              <w:t>(0.8%, 3.7%)</w:t>
            </w:r>
          </w:p>
        </w:tc>
      </w:tr>
      <w:tr w:rsidR="00BC28CE" w:rsidRPr="00835CFC" w14:paraId="644692FD" w14:textId="77777777" w:rsidTr="00835CFC">
        <w:trPr>
          <w:jc w:val="center"/>
        </w:trPr>
        <w:tc>
          <w:tcPr>
            <w:tcW w:w="0" w:type="auto"/>
            <w:shd w:val="clear" w:color="auto" w:fill="FAFAFA"/>
            <w:tcMar>
              <w:top w:w="0" w:type="dxa"/>
              <w:left w:w="0" w:type="dxa"/>
              <w:bottom w:w="0" w:type="dxa"/>
              <w:right w:w="0" w:type="dxa"/>
            </w:tcMar>
            <w:vAlign w:val="center"/>
          </w:tcPr>
          <w:p w14:paraId="09CC9B9A"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SAM prevalence among children 6-59 months per MUAC &lt;115 mm</w:t>
            </w:r>
          </w:p>
        </w:tc>
        <w:tc>
          <w:tcPr>
            <w:tcW w:w="0" w:type="auto"/>
            <w:shd w:val="clear" w:color="auto" w:fill="FAFAFA"/>
            <w:tcMar>
              <w:top w:w="0" w:type="dxa"/>
              <w:left w:w="0" w:type="dxa"/>
              <w:bottom w:w="0" w:type="dxa"/>
              <w:right w:w="0" w:type="dxa"/>
            </w:tcMar>
            <w:vAlign w:val="center"/>
          </w:tcPr>
          <w:p w14:paraId="097A1334"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447</w:t>
            </w:r>
          </w:p>
        </w:tc>
        <w:tc>
          <w:tcPr>
            <w:tcW w:w="0" w:type="auto"/>
            <w:shd w:val="clear" w:color="auto" w:fill="FAFAFA"/>
            <w:tcMar>
              <w:top w:w="0" w:type="dxa"/>
              <w:left w:w="0" w:type="dxa"/>
              <w:bottom w:w="0" w:type="dxa"/>
              <w:right w:w="0" w:type="dxa"/>
            </w:tcMar>
            <w:vAlign w:val="center"/>
          </w:tcPr>
          <w:p w14:paraId="2B3F6478"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 xml:space="preserve"> 3</w:t>
            </w:r>
          </w:p>
        </w:tc>
        <w:tc>
          <w:tcPr>
            <w:tcW w:w="0" w:type="auto"/>
            <w:shd w:val="clear" w:color="auto" w:fill="FAFAFA"/>
            <w:tcMar>
              <w:top w:w="0" w:type="dxa"/>
              <w:left w:w="0" w:type="dxa"/>
              <w:bottom w:w="0" w:type="dxa"/>
              <w:right w:w="0" w:type="dxa"/>
            </w:tcMar>
            <w:vAlign w:val="center"/>
          </w:tcPr>
          <w:p w14:paraId="39FE1A5F"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0.7%</w:t>
            </w:r>
            <w:r w:rsidRPr="00835CFC">
              <w:rPr>
                <w:rFonts w:asciiTheme="majorHAnsi" w:eastAsia="DejaVu Sans" w:hAnsiTheme="majorHAnsi" w:cs="DejaVu Sans"/>
                <w:color w:val="000000"/>
                <w:sz w:val="22"/>
                <w:szCs w:val="22"/>
              </w:rPr>
              <w:br/>
              <w:t>(0.2%, 2.1%)</w:t>
            </w:r>
          </w:p>
        </w:tc>
      </w:tr>
      <w:tr w:rsidR="00BC28CE" w:rsidRPr="00835CFC" w14:paraId="3221DD56" w14:textId="77777777" w:rsidTr="00835CFC">
        <w:trPr>
          <w:jc w:val="center"/>
        </w:trPr>
        <w:tc>
          <w:tcPr>
            <w:tcW w:w="0" w:type="auto"/>
            <w:shd w:val="clear" w:color="auto" w:fill="F2F2F2"/>
            <w:tcMar>
              <w:top w:w="0" w:type="dxa"/>
              <w:left w:w="0" w:type="dxa"/>
              <w:bottom w:w="0" w:type="dxa"/>
              <w:right w:w="0" w:type="dxa"/>
            </w:tcMar>
            <w:vAlign w:val="center"/>
          </w:tcPr>
          <w:p w14:paraId="0281E402"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Combined GAM prevalence among children 6-59 months per WHZ &lt; -2SD or MUAC &lt;125 mm</w:t>
            </w:r>
          </w:p>
        </w:tc>
        <w:tc>
          <w:tcPr>
            <w:tcW w:w="0" w:type="auto"/>
            <w:shd w:val="clear" w:color="auto" w:fill="F2F2F2"/>
            <w:tcMar>
              <w:top w:w="0" w:type="dxa"/>
              <w:left w:w="0" w:type="dxa"/>
              <w:bottom w:w="0" w:type="dxa"/>
              <w:right w:w="0" w:type="dxa"/>
            </w:tcMar>
            <w:vAlign w:val="center"/>
          </w:tcPr>
          <w:p w14:paraId="4C14CA03"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447</w:t>
            </w:r>
          </w:p>
        </w:tc>
        <w:tc>
          <w:tcPr>
            <w:tcW w:w="0" w:type="auto"/>
            <w:shd w:val="clear" w:color="auto" w:fill="F2F2F2"/>
            <w:tcMar>
              <w:top w:w="0" w:type="dxa"/>
              <w:left w:w="0" w:type="dxa"/>
              <w:bottom w:w="0" w:type="dxa"/>
              <w:right w:w="0" w:type="dxa"/>
            </w:tcMar>
            <w:vAlign w:val="center"/>
          </w:tcPr>
          <w:p w14:paraId="5496B227"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63</w:t>
            </w:r>
          </w:p>
        </w:tc>
        <w:tc>
          <w:tcPr>
            <w:tcW w:w="0" w:type="auto"/>
            <w:shd w:val="clear" w:color="auto" w:fill="F2F2F2"/>
            <w:tcMar>
              <w:top w:w="0" w:type="dxa"/>
              <w:left w:w="0" w:type="dxa"/>
              <w:bottom w:w="0" w:type="dxa"/>
              <w:right w:w="0" w:type="dxa"/>
            </w:tcMar>
            <w:vAlign w:val="center"/>
          </w:tcPr>
          <w:p w14:paraId="343D6393"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14.1%</w:t>
            </w:r>
            <w:r w:rsidRPr="00835CFC">
              <w:rPr>
                <w:rFonts w:asciiTheme="majorHAnsi" w:eastAsia="DejaVu Sans" w:hAnsiTheme="majorHAnsi" w:cs="DejaVu Sans"/>
                <w:color w:val="000000"/>
                <w:sz w:val="22"/>
                <w:szCs w:val="22"/>
              </w:rPr>
              <w:br/>
              <w:t>(10.9%, 18.0%)</w:t>
            </w:r>
          </w:p>
        </w:tc>
      </w:tr>
      <w:tr w:rsidR="00BC28CE" w:rsidRPr="00835CFC" w14:paraId="14CC740B" w14:textId="77777777" w:rsidTr="00835CFC">
        <w:trPr>
          <w:jc w:val="center"/>
        </w:trPr>
        <w:tc>
          <w:tcPr>
            <w:tcW w:w="0" w:type="auto"/>
            <w:shd w:val="clear" w:color="auto" w:fill="FAFAFA"/>
            <w:tcMar>
              <w:top w:w="0" w:type="dxa"/>
              <w:left w:w="0" w:type="dxa"/>
              <w:bottom w:w="0" w:type="dxa"/>
              <w:right w:w="0" w:type="dxa"/>
            </w:tcMar>
            <w:vAlign w:val="center"/>
          </w:tcPr>
          <w:p w14:paraId="58350B66"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lastRenderedPageBreak/>
              <w:t>Combined SAM prevalence among children 6-59 months per WHZ &lt; -3SD or MUAC &lt;115 mm</w:t>
            </w:r>
          </w:p>
        </w:tc>
        <w:tc>
          <w:tcPr>
            <w:tcW w:w="0" w:type="auto"/>
            <w:shd w:val="clear" w:color="auto" w:fill="FAFAFA"/>
            <w:tcMar>
              <w:top w:w="0" w:type="dxa"/>
              <w:left w:w="0" w:type="dxa"/>
              <w:bottom w:w="0" w:type="dxa"/>
              <w:right w:w="0" w:type="dxa"/>
            </w:tcMar>
            <w:vAlign w:val="center"/>
          </w:tcPr>
          <w:p w14:paraId="06033C1F"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447</w:t>
            </w:r>
          </w:p>
        </w:tc>
        <w:tc>
          <w:tcPr>
            <w:tcW w:w="0" w:type="auto"/>
            <w:shd w:val="clear" w:color="auto" w:fill="FAFAFA"/>
            <w:tcMar>
              <w:top w:w="0" w:type="dxa"/>
              <w:left w:w="0" w:type="dxa"/>
              <w:bottom w:w="0" w:type="dxa"/>
              <w:right w:w="0" w:type="dxa"/>
            </w:tcMar>
            <w:vAlign w:val="center"/>
          </w:tcPr>
          <w:p w14:paraId="45263299"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12</w:t>
            </w:r>
          </w:p>
        </w:tc>
        <w:tc>
          <w:tcPr>
            <w:tcW w:w="0" w:type="auto"/>
            <w:shd w:val="clear" w:color="auto" w:fill="FAFAFA"/>
            <w:tcMar>
              <w:top w:w="0" w:type="dxa"/>
              <w:left w:w="0" w:type="dxa"/>
              <w:bottom w:w="0" w:type="dxa"/>
              <w:right w:w="0" w:type="dxa"/>
            </w:tcMar>
            <w:vAlign w:val="center"/>
          </w:tcPr>
          <w:p w14:paraId="65700068"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2.7%</w:t>
            </w:r>
            <w:r w:rsidRPr="00835CFC">
              <w:rPr>
                <w:rFonts w:asciiTheme="majorHAnsi" w:eastAsia="DejaVu Sans" w:hAnsiTheme="majorHAnsi" w:cs="DejaVu Sans"/>
                <w:color w:val="000000"/>
                <w:sz w:val="22"/>
                <w:szCs w:val="22"/>
              </w:rPr>
              <w:br/>
              <w:t>(1.6%, 4.4%)</w:t>
            </w:r>
          </w:p>
        </w:tc>
      </w:tr>
      <w:tr w:rsidR="00BC28CE" w:rsidRPr="00835CFC" w14:paraId="30ADF2FB" w14:textId="77777777" w:rsidTr="00835CFC">
        <w:trPr>
          <w:trHeight w:val="406"/>
          <w:jc w:val="center"/>
        </w:trPr>
        <w:tc>
          <w:tcPr>
            <w:tcW w:w="0" w:type="auto"/>
            <w:shd w:val="clear" w:color="auto" w:fill="F2F2F2"/>
            <w:tcMar>
              <w:top w:w="0" w:type="dxa"/>
              <w:left w:w="0" w:type="dxa"/>
              <w:bottom w:w="0" w:type="dxa"/>
              <w:right w:w="0" w:type="dxa"/>
            </w:tcMar>
            <w:vAlign w:val="center"/>
          </w:tcPr>
          <w:p w14:paraId="028C90CF"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Stunting among children 6-59 months per HAZ &lt; -2SD</w:t>
            </w:r>
          </w:p>
        </w:tc>
        <w:tc>
          <w:tcPr>
            <w:tcW w:w="0" w:type="auto"/>
            <w:shd w:val="clear" w:color="auto" w:fill="F2F2F2"/>
            <w:tcMar>
              <w:top w:w="0" w:type="dxa"/>
              <w:left w:w="0" w:type="dxa"/>
              <w:bottom w:w="0" w:type="dxa"/>
              <w:right w:w="0" w:type="dxa"/>
            </w:tcMar>
            <w:vAlign w:val="center"/>
          </w:tcPr>
          <w:p w14:paraId="659BFB43"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435</w:t>
            </w:r>
          </w:p>
        </w:tc>
        <w:tc>
          <w:tcPr>
            <w:tcW w:w="0" w:type="auto"/>
            <w:shd w:val="clear" w:color="auto" w:fill="F2F2F2"/>
            <w:tcMar>
              <w:top w:w="0" w:type="dxa"/>
              <w:left w:w="0" w:type="dxa"/>
              <w:bottom w:w="0" w:type="dxa"/>
              <w:right w:w="0" w:type="dxa"/>
            </w:tcMar>
            <w:vAlign w:val="center"/>
          </w:tcPr>
          <w:p w14:paraId="2C031DAC"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74</w:t>
            </w:r>
          </w:p>
        </w:tc>
        <w:tc>
          <w:tcPr>
            <w:tcW w:w="0" w:type="auto"/>
            <w:shd w:val="clear" w:color="auto" w:fill="F2F2F2"/>
            <w:tcMar>
              <w:top w:w="0" w:type="dxa"/>
              <w:left w:w="0" w:type="dxa"/>
              <w:bottom w:w="0" w:type="dxa"/>
              <w:right w:w="0" w:type="dxa"/>
            </w:tcMar>
            <w:vAlign w:val="center"/>
          </w:tcPr>
          <w:p w14:paraId="0E962249"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17.0%</w:t>
            </w:r>
            <w:r w:rsidRPr="00835CFC">
              <w:rPr>
                <w:rFonts w:asciiTheme="majorHAnsi" w:eastAsia="DejaVu Sans" w:hAnsiTheme="majorHAnsi" w:cs="DejaVu Sans"/>
                <w:color w:val="000000"/>
                <w:sz w:val="22"/>
                <w:szCs w:val="22"/>
              </w:rPr>
              <w:br/>
              <w:t>(12.9%, 22.1%)</w:t>
            </w:r>
          </w:p>
        </w:tc>
      </w:tr>
      <w:tr w:rsidR="00BC28CE" w:rsidRPr="00835CFC" w14:paraId="0490F2D6" w14:textId="77777777" w:rsidTr="00835CFC">
        <w:trPr>
          <w:jc w:val="center"/>
        </w:trPr>
        <w:tc>
          <w:tcPr>
            <w:tcW w:w="0" w:type="auto"/>
            <w:shd w:val="clear" w:color="auto" w:fill="FAFAFA"/>
            <w:tcMar>
              <w:top w:w="0" w:type="dxa"/>
              <w:left w:w="0" w:type="dxa"/>
              <w:bottom w:w="0" w:type="dxa"/>
              <w:right w:w="0" w:type="dxa"/>
            </w:tcMar>
            <w:vAlign w:val="center"/>
          </w:tcPr>
          <w:p w14:paraId="1C4F6452"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Severe stunting among children 6-59 months per HAZ &lt; -3SD</w:t>
            </w:r>
          </w:p>
        </w:tc>
        <w:tc>
          <w:tcPr>
            <w:tcW w:w="0" w:type="auto"/>
            <w:shd w:val="clear" w:color="auto" w:fill="FAFAFA"/>
            <w:tcMar>
              <w:top w:w="0" w:type="dxa"/>
              <w:left w:w="0" w:type="dxa"/>
              <w:bottom w:w="0" w:type="dxa"/>
              <w:right w:w="0" w:type="dxa"/>
            </w:tcMar>
            <w:vAlign w:val="center"/>
          </w:tcPr>
          <w:p w14:paraId="2CC86F2A"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435</w:t>
            </w:r>
          </w:p>
        </w:tc>
        <w:tc>
          <w:tcPr>
            <w:tcW w:w="0" w:type="auto"/>
            <w:shd w:val="clear" w:color="auto" w:fill="FAFAFA"/>
            <w:tcMar>
              <w:top w:w="0" w:type="dxa"/>
              <w:left w:w="0" w:type="dxa"/>
              <w:bottom w:w="0" w:type="dxa"/>
              <w:right w:w="0" w:type="dxa"/>
            </w:tcMar>
            <w:vAlign w:val="center"/>
          </w:tcPr>
          <w:p w14:paraId="205D5BC7"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13</w:t>
            </w:r>
          </w:p>
        </w:tc>
        <w:tc>
          <w:tcPr>
            <w:tcW w:w="0" w:type="auto"/>
            <w:shd w:val="clear" w:color="auto" w:fill="FAFAFA"/>
            <w:tcMar>
              <w:top w:w="0" w:type="dxa"/>
              <w:left w:w="0" w:type="dxa"/>
              <w:bottom w:w="0" w:type="dxa"/>
              <w:right w:w="0" w:type="dxa"/>
            </w:tcMar>
            <w:vAlign w:val="center"/>
          </w:tcPr>
          <w:p w14:paraId="389699A4"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3.0%</w:t>
            </w:r>
            <w:r w:rsidRPr="00835CFC">
              <w:rPr>
                <w:rFonts w:asciiTheme="majorHAnsi" w:eastAsia="DejaVu Sans" w:hAnsiTheme="majorHAnsi" w:cs="DejaVu Sans"/>
                <w:color w:val="000000"/>
                <w:sz w:val="22"/>
                <w:szCs w:val="22"/>
              </w:rPr>
              <w:br/>
              <w:t>(1.8%, 4.8%)</w:t>
            </w:r>
          </w:p>
        </w:tc>
      </w:tr>
      <w:tr w:rsidR="00BC28CE" w:rsidRPr="00835CFC" w14:paraId="12056987" w14:textId="77777777" w:rsidTr="00835CFC">
        <w:trPr>
          <w:jc w:val="center"/>
        </w:trPr>
        <w:tc>
          <w:tcPr>
            <w:tcW w:w="0" w:type="auto"/>
            <w:shd w:val="clear" w:color="auto" w:fill="F2F2F2"/>
            <w:tcMar>
              <w:top w:w="0" w:type="dxa"/>
              <w:left w:w="0" w:type="dxa"/>
              <w:bottom w:w="0" w:type="dxa"/>
              <w:right w:w="0" w:type="dxa"/>
            </w:tcMar>
            <w:vAlign w:val="center"/>
          </w:tcPr>
          <w:p w14:paraId="47C0AF71"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Underweight among children 6-59 months per WAZ &lt; -2SD</w:t>
            </w:r>
          </w:p>
        </w:tc>
        <w:tc>
          <w:tcPr>
            <w:tcW w:w="0" w:type="auto"/>
            <w:shd w:val="clear" w:color="auto" w:fill="F2F2F2"/>
            <w:tcMar>
              <w:top w:w="0" w:type="dxa"/>
              <w:left w:w="0" w:type="dxa"/>
              <w:bottom w:w="0" w:type="dxa"/>
              <w:right w:w="0" w:type="dxa"/>
            </w:tcMar>
            <w:vAlign w:val="center"/>
          </w:tcPr>
          <w:p w14:paraId="461768A1"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444</w:t>
            </w:r>
          </w:p>
        </w:tc>
        <w:tc>
          <w:tcPr>
            <w:tcW w:w="0" w:type="auto"/>
            <w:shd w:val="clear" w:color="auto" w:fill="F2F2F2"/>
            <w:tcMar>
              <w:top w:w="0" w:type="dxa"/>
              <w:left w:w="0" w:type="dxa"/>
              <w:bottom w:w="0" w:type="dxa"/>
              <w:right w:w="0" w:type="dxa"/>
            </w:tcMar>
            <w:vAlign w:val="center"/>
          </w:tcPr>
          <w:p w14:paraId="0B15B585"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82</w:t>
            </w:r>
          </w:p>
        </w:tc>
        <w:tc>
          <w:tcPr>
            <w:tcW w:w="0" w:type="auto"/>
            <w:shd w:val="clear" w:color="auto" w:fill="F2F2F2"/>
            <w:tcMar>
              <w:top w:w="0" w:type="dxa"/>
              <w:left w:w="0" w:type="dxa"/>
              <w:bottom w:w="0" w:type="dxa"/>
              <w:right w:w="0" w:type="dxa"/>
            </w:tcMar>
            <w:vAlign w:val="center"/>
          </w:tcPr>
          <w:p w14:paraId="5AE1584D"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18.5%</w:t>
            </w:r>
            <w:r w:rsidRPr="00835CFC">
              <w:rPr>
                <w:rFonts w:asciiTheme="majorHAnsi" w:eastAsia="DejaVu Sans" w:hAnsiTheme="majorHAnsi" w:cs="DejaVu Sans"/>
                <w:color w:val="000000"/>
                <w:sz w:val="22"/>
                <w:szCs w:val="22"/>
              </w:rPr>
              <w:br/>
              <w:t>(15.1%, 22.4%)</w:t>
            </w:r>
          </w:p>
        </w:tc>
      </w:tr>
      <w:tr w:rsidR="00BC28CE" w:rsidRPr="00835CFC" w14:paraId="74388871" w14:textId="77777777" w:rsidTr="00835CFC">
        <w:trPr>
          <w:jc w:val="center"/>
        </w:trPr>
        <w:tc>
          <w:tcPr>
            <w:tcW w:w="0" w:type="auto"/>
            <w:shd w:val="clear" w:color="auto" w:fill="FAFAFA"/>
            <w:tcMar>
              <w:top w:w="0" w:type="dxa"/>
              <w:left w:w="0" w:type="dxa"/>
              <w:bottom w:w="0" w:type="dxa"/>
              <w:right w:w="0" w:type="dxa"/>
            </w:tcMar>
            <w:vAlign w:val="center"/>
          </w:tcPr>
          <w:p w14:paraId="74AE1491"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eastAsia="DejaVu Sans" w:hAnsiTheme="majorHAnsi" w:cs="DejaVu Sans"/>
                <w:color w:val="000000"/>
                <w:sz w:val="22"/>
                <w:szCs w:val="22"/>
              </w:rPr>
              <w:t>Severe underweight among children 6-59 months per WAZ &lt; -3SD</w:t>
            </w:r>
          </w:p>
        </w:tc>
        <w:tc>
          <w:tcPr>
            <w:tcW w:w="0" w:type="auto"/>
            <w:shd w:val="clear" w:color="auto" w:fill="FAFAFA"/>
            <w:tcMar>
              <w:top w:w="0" w:type="dxa"/>
              <w:left w:w="0" w:type="dxa"/>
              <w:bottom w:w="0" w:type="dxa"/>
              <w:right w:w="0" w:type="dxa"/>
            </w:tcMar>
            <w:vAlign w:val="center"/>
          </w:tcPr>
          <w:p w14:paraId="5557E52D"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444</w:t>
            </w:r>
          </w:p>
        </w:tc>
        <w:tc>
          <w:tcPr>
            <w:tcW w:w="0" w:type="auto"/>
            <w:shd w:val="clear" w:color="auto" w:fill="FAFAFA"/>
            <w:tcMar>
              <w:top w:w="0" w:type="dxa"/>
              <w:left w:w="0" w:type="dxa"/>
              <w:bottom w:w="0" w:type="dxa"/>
              <w:right w:w="0" w:type="dxa"/>
            </w:tcMar>
            <w:vAlign w:val="center"/>
          </w:tcPr>
          <w:p w14:paraId="27FFDBC5"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18</w:t>
            </w:r>
          </w:p>
        </w:tc>
        <w:tc>
          <w:tcPr>
            <w:tcW w:w="0" w:type="auto"/>
            <w:shd w:val="clear" w:color="auto" w:fill="FAFAFA"/>
            <w:tcMar>
              <w:top w:w="0" w:type="dxa"/>
              <w:left w:w="0" w:type="dxa"/>
              <w:bottom w:w="0" w:type="dxa"/>
              <w:right w:w="0" w:type="dxa"/>
            </w:tcMar>
            <w:vAlign w:val="center"/>
          </w:tcPr>
          <w:p w14:paraId="1D9EE80A" w14:textId="77777777" w:rsidR="00BC28CE" w:rsidRPr="00835CFC"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4.1%</w:t>
            </w:r>
            <w:r w:rsidRPr="00835CFC">
              <w:rPr>
                <w:rFonts w:asciiTheme="majorHAnsi" w:eastAsia="DejaVu Sans" w:hAnsiTheme="majorHAnsi" w:cs="DejaVu Sans"/>
                <w:color w:val="000000"/>
                <w:sz w:val="22"/>
                <w:szCs w:val="22"/>
              </w:rPr>
              <w:br/>
              <w:t>(2.4%, 6.7%)</w:t>
            </w:r>
          </w:p>
        </w:tc>
      </w:tr>
      <w:tr w:rsidR="00170FB7" w:rsidRPr="00835CFC" w14:paraId="68BDAE67" w14:textId="77777777" w:rsidTr="00835CFC">
        <w:trPr>
          <w:jc w:val="center"/>
        </w:trPr>
        <w:tc>
          <w:tcPr>
            <w:tcW w:w="0" w:type="auto"/>
            <w:shd w:val="clear" w:color="auto" w:fill="FAFAFA"/>
            <w:tcMar>
              <w:top w:w="0" w:type="dxa"/>
              <w:left w:w="0" w:type="dxa"/>
              <w:bottom w:w="0" w:type="dxa"/>
              <w:right w:w="0" w:type="dxa"/>
            </w:tcMar>
            <w:vAlign w:val="center"/>
          </w:tcPr>
          <w:p w14:paraId="37C335DE" w14:textId="057E22A9"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Vitamin A supplementation coverage for children aged 6-59 months within the past 6 months</w:t>
            </w:r>
          </w:p>
        </w:tc>
        <w:tc>
          <w:tcPr>
            <w:tcW w:w="0" w:type="auto"/>
            <w:shd w:val="clear" w:color="auto" w:fill="FAFAFA"/>
            <w:tcMar>
              <w:top w:w="0" w:type="dxa"/>
              <w:left w:w="0" w:type="dxa"/>
              <w:bottom w:w="0" w:type="dxa"/>
              <w:right w:w="0" w:type="dxa"/>
            </w:tcMar>
            <w:vAlign w:val="center"/>
          </w:tcPr>
          <w:p w14:paraId="56F65E83" w14:textId="5A8DE67E"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450</w:t>
            </w:r>
          </w:p>
        </w:tc>
        <w:tc>
          <w:tcPr>
            <w:tcW w:w="0" w:type="auto"/>
            <w:shd w:val="clear" w:color="auto" w:fill="FAFAFA"/>
            <w:tcMar>
              <w:top w:w="0" w:type="dxa"/>
              <w:left w:w="0" w:type="dxa"/>
              <w:bottom w:w="0" w:type="dxa"/>
              <w:right w:w="0" w:type="dxa"/>
            </w:tcMar>
            <w:vAlign w:val="center"/>
          </w:tcPr>
          <w:p w14:paraId="4494B1C3" w14:textId="1B2106B9"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359</w:t>
            </w:r>
          </w:p>
        </w:tc>
        <w:tc>
          <w:tcPr>
            <w:tcW w:w="0" w:type="auto"/>
            <w:shd w:val="clear" w:color="auto" w:fill="FAFAFA"/>
            <w:tcMar>
              <w:top w:w="0" w:type="dxa"/>
              <w:left w:w="0" w:type="dxa"/>
              <w:bottom w:w="0" w:type="dxa"/>
              <w:right w:w="0" w:type="dxa"/>
            </w:tcMar>
            <w:vAlign w:val="center"/>
          </w:tcPr>
          <w:p w14:paraId="07203FD8" w14:textId="18F565E8" w:rsidR="002666A1"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79.8%</w:t>
            </w:r>
          </w:p>
          <w:p w14:paraId="17746E71" w14:textId="38AE05C6"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(71.0%, 86.4%)</w:t>
            </w:r>
          </w:p>
        </w:tc>
      </w:tr>
      <w:tr w:rsidR="00170FB7" w:rsidRPr="00835CFC" w14:paraId="69FE4200" w14:textId="77777777" w:rsidTr="00835CFC">
        <w:trPr>
          <w:jc w:val="center"/>
        </w:trPr>
        <w:tc>
          <w:tcPr>
            <w:tcW w:w="0" w:type="auto"/>
            <w:shd w:val="clear" w:color="auto" w:fill="FAFAFA"/>
            <w:tcMar>
              <w:top w:w="0" w:type="dxa"/>
              <w:left w:w="0" w:type="dxa"/>
              <w:bottom w:w="0" w:type="dxa"/>
              <w:right w:w="0" w:type="dxa"/>
            </w:tcMar>
            <w:vAlign w:val="center"/>
          </w:tcPr>
          <w:p w14:paraId="2E38B70F" w14:textId="53A6E971"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Deworming coverage for children aged 12-59 months within the past 6 months</w:t>
            </w:r>
          </w:p>
        </w:tc>
        <w:tc>
          <w:tcPr>
            <w:tcW w:w="0" w:type="auto"/>
            <w:shd w:val="clear" w:color="auto" w:fill="FAFAFA"/>
            <w:tcMar>
              <w:top w:w="0" w:type="dxa"/>
              <w:left w:w="0" w:type="dxa"/>
              <w:bottom w:w="0" w:type="dxa"/>
              <w:right w:w="0" w:type="dxa"/>
            </w:tcMar>
            <w:vAlign w:val="center"/>
          </w:tcPr>
          <w:p w14:paraId="50D382E7" w14:textId="185555B5"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375</w:t>
            </w:r>
          </w:p>
        </w:tc>
        <w:tc>
          <w:tcPr>
            <w:tcW w:w="0" w:type="auto"/>
            <w:shd w:val="clear" w:color="auto" w:fill="FAFAFA"/>
            <w:tcMar>
              <w:top w:w="0" w:type="dxa"/>
              <w:left w:w="0" w:type="dxa"/>
              <w:bottom w:w="0" w:type="dxa"/>
              <w:right w:w="0" w:type="dxa"/>
            </w:tcMar>
            <w:vAlign w:val="center"/>
          </w:tcPr>
          <w:p w14:paraId="5D51CA8F" w14:textId="50A586E4"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264</w:t>
            </w:r>
          </w:p>
        </w:tc>
        <w:tc>
          <w:tcPr>
            <w:tcW w:w="0" w:type="auto"/>
            <w:shd w:val="clear" w:color="auto" w:fill="FAFAFA"/>
            <w:tcMar>
              <w:top w:w="0" w:type="dxa"/>
              <w:left w:w="0" w:type="dxa"/>
              <w:bottom w:w="0" w:type="dxa"/>
              <w:right w:w="0" w:type="dxa"/>
            </w:tcMar>
            <w:vAlign w:val="center"/>
          </w:tcPr>
          <w:p w14:paraId="13948794" w14:textId="77777777"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70.4%</w:t>
            </w:r>
          </w:p>
          <w:p w14:paraId="25D4A658" w14:textId="42F1FF2C" w:rsidR="002666A1"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(61.5%, 78.0%)</w:t>
            </w:r>
          </w:p>
        </w:tc>
      </w:tr>
      <w:tr w:rsidR="00170FB7" w:rsidRPr="00835CFC" w14:paraId="1C2D76F5" w14:textId="77777777" w:rsidTr="00835CFC">
        <w:trPr>
          <w:jc w:val="center"/>
        </w:trPr>
        <w:tc>
          <w:tcPr>
            <w:tcW w:w="0" w:type="auto"/>
            <w:shd w:val="clear" w:color="auto" w:fill="FAFAFA"/>
            <w:tcMar>
              <w:top w:w="0" w:type="dxa"/>
              <w:left w:w="0" w:type="dxa"/>
              <w:bottom w:w="0" w:type="dxa"/>
              <w:right w:w="0" w:type="dxa"/>
            </w:tcMar>
            <w:vAlign w:val="center"/>
          </w:tcPr>
          <w:p w14:paraId="63686608" w14:textId="362FEF1C"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Measles vaccination coverage for children aged 9-59 months</w:t>
            </w:r>
          </w:p>
        </w:tc>
        <w:tc>
          <w:tcPr>
            <w:tcW w:w="0" w:type="auto"/>
            <w:shd w:val="clear" w:color="auto" w:fill="FAFAFA"/>
            <w:tcMar>
              <w:top w:w="0" w:type="dxa"/>
              <w:left w:w="0" w:type="dxa"/>
              <w:bottom w:w="0" w:type="dxa"/>
              <w:right w:w="0" w:type="dxa"/>
            </w:tcMar>
            <w:vAlign w:val="center"/>
          </w:tcPr>
          <w:p w14:paraId="371F2B9B" w14:textId="4D70202D"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434</w:t>
            </w:r>
          </w:p>
        </w:tc>
        <w:tc>
          <w:tcPr>
            <w:tcW w:w="0" w:type="auto"/>
            <w:shd w:val="clear" w:color="auto" w:fill="FAFAFA"/>
            <w:tcMar>
              <w:top w:w="0" w:type="dxa"/>
              <w:left w:w="0" w:type="dxa"/>
              <w:bottom w:w="0" w:type="dxa"/>
              <w:right w:w="0" w:type="dxa"/>
            </w:tcMar>
            <w:vAlign w:val="center"/>
          </w:tcPr>
          <w:p w14:paraId="41D8A5F6" w14:textId="77822E4D"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406</w:t>
            </w:r>
          </w:p>
        </w:tc>
        <w:tc>
          <w:tcPr>
            <w:tcW w:w="0" w:type="auto"/>
            <w:shd w:val="clear" w:color="auto" w:fill="FAFAFA"/>
            <w:tcMar>
              <w:top w:w="0" w:type="dxa"/>
              <w:left w:w="0" w:type="dxa"/>
              <w:bottom w:w="0" w:type="dxa"/>
              <w:right w:w="0" w:type="dxa"/>
            </w:tcMar>
            <w:vAlign w:val="center"/>
          </w:tcPr>
          <w:p w14:paraId="3A36489E" w14:textId="77777777"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93.5%</w:t>
            </w:r>
          </w:p>
          <w:p w14:paraId="2F63A13D" w14:textId="4F8CB7C7" w:rsidR="002666A1"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(89.8%, 96.0%)</w:t>
            </w:r>
          </w:p>
        </w:tc>
      </w:tr>
      <w:tr w:rsidR="00170FB7" w:rsidRPr="00835CFC" w14:paraId="0B27DAFE" w14:textId="77777777" w:rsidTr="00835CFC">
        <w:trPr>
          <w:jc w:val="center"/>
        </w:trPr>
        <w:tc>
          <w:tcPr>
            <w:tcW w:w="0" w:type="auto"/>
            <w:shd w:val="clear" w:color="auto" w:fill="FAFAFA"/>
            <w:tcMar>
              <w:top w:w="0" w:type="dxa"/>
              <w:left w:w="0" w:type="dxa"/>
              <w:bottom w:w="0" w:type="dxa"/>
              <w:right w:w="0" w:type="dxa"/>
            </w:tcMar>
            <w:vAlign w:val="center"/>
          </w:tcPr>
          <w:p w14:paraId="42381DD7" w14:textId="25F29456"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Measles vaccination coverage for children aged 9-23 months</w:t>
            </w:r>
          </w:p>
        </w:tc>
        <w:tc>
          <w:tcPr>
            <w:tcW w:w="0" w:type="auto"/>
            <w:shd w:val="clear" w:color="auto" w:fill="FAFAFA"/>
            <w:tcMar>
              <w:top w:w="0" w:type="dxa"/>
              <w:left w:w="0" w:type="dxa"/>
              <w:bottom w:w="0" w:type="dxa"/>
              <w:right w:w="0" w:type="dxa"/>
            </w:tcMar>
            <w:vAlign w:val="center"/>
          </w:tcPr>
          <w:p w14:paraId="7DDD9E3D" w14:textId="39797487"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131</w:t>
            </w:r>
          </w:p>
        </w:tc>
        <w:tc>
          <w:tcPr>
            <w:tcW w:w="0" w:type="auto"/>
            <w:shd w:val="clear" w:color="auto" w:fill="FAFAFA"/>
            <w:tcMar>
              <w:top w:w="0" w:type="dxa"/>
              <w:left w:w="0" w:type="dxa"/>
              <w:bottom w:w="0" w:type="dxa"/>
              <w:right w:w="0" w:type="dxa"/>
            </w:tcMar>
            <w:vAlign w:val="center"/>
          </w:tcPr>
          <w:p w14:paraId="3A0C81E5" w14:textId="59756102"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120</w:t>
            </w:r>
          </w:p>
        </w:tc>
        <w:tc>
          <w:tcPr>
            <w:tcW w:w="0" w:type="auto"/>
            <w:tcBorders>
              <w:bottom w:val="single" w:sz="4" w:space="0" w:color="auto"/>
            </w:tcBorders>
            <w:shd w:val="clear" w:color="auto" w:fill="FAFAFA"/>
            <w:tcMar>
              <w:top w:w="0" w:type="dxa"/>
              <w:left w:w="0" w:type="dxa"/>
              <w:bottom w:w="0" w:type="dxa"/>
              <w:right w:w="0" w:type="dxa"/>
            </w:tcMar>
            <w:vAlign w:val="center"/>
          </w:tcPr>
          <w:p w14:paraId="2A30825F" w14:textId="77777777" w:rsidR="00170FB7"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91.6%</w:t>
            </w:r>
          </w:p>
          <w:p w14:paraId="0CE01239" w14:textId="2F0915A1" w:rsidR="002666A1" w:rsidRPr="00835CFC" w:rsidRDefault="002666A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(85.8%, 95.2%)</w:t>
            </w:r>
          </w:p>
        </w:tc>
      </w:tr>
      <w:tr w:rsidR="000B5DC7" w:rsidRPr="00835CFC" w14:paraId="6DC76A8B" w14:textId="77777777" w:rsidTr="00835CFC">
        <w:trPr>
          <w:jc w:val="center"/>
        </w:trPr>
        <w:tc>
          <w:tcPr>
            <w:tcW w:w="0" w:type="auto"/>
            <w:shd w:val="clear" w:color="auto" w:fill="FAFAFA"/>
            <w:tcMar>
              <w:top w:w="0" w:type="dxa"/>
              <w:left w:w="0" w:type="dxa"/>
              <w:bottom w:w="0" w:type="dxa"/>
              <w:right w:w="0" w:type="dxa"/>
            </w:tcMar>
            <w:vAlign w:val="center"/>
          </w:tcPr>
          <w:p w14:paraId="075EF045" w14:textId="0AB98475"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Prevalence of ARI symptoms in the two weeks preceding the survey for children aged 6-59 months</w:t>
            </w:r>
          </w:p>
        </w:tc>
        <w:tc>
          <w:tcPr>
            <w:tcW w:w="0" w:type="auto"/>
            <w:shd w:val="clear" w:color="auto" w:fill="FAFAFA"/>
            <w:tcMar>
              <w:top w:w="0" w:type="dxa"/>
              <w:left w:w="0" w:type="dxa"/>
              <w:bottom w:w="0" w:type="dxa"/>
              <w:right w:w="0" w:type="dxa"/>
            </w:tcMar>
            <w:vAlign w:val="center"/>
          </w:tcPr>
          <w:p w14:paraId="60343B5D" w14:textId="1E33058E" w:rsidR="000B5DC7" w:rsidRPr="00835CFC" w:rsidRDefault="009F4470"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449</w:t>
            </w:r>
          </w:p>
        </w:tc>
        <w:tc>
          <w:tcPr>
            <w:tcW w:w="0" w:type="auto"/>
            <w:shd w:val="clear" w:color="auto" w:fill="FFFFFF"/>
            <w:tcMar>
              <w:top w:w="0" w:type="dxa"/>
              <w:left w:w="0" w:type="dxa"/>
              <w:bottom w:w="0" w:type="dxa"/>
              <w:right w:w="0" w:type="dxa"/>
            </w:tcMar>
            <w:vAlign w:val="center"/>
          </w:tcPr>
          <w:p w14:paraId="4ED656BF" w14:textId="006679E6"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 xml:space="preserve"> 26</w:t>
            </w:r>
          </w:p>
        </w:tc>
        <w:tc>
          <w:tcPr>
            <w:tcW w:w="0" w:type="auto"/>
            <w:tcBorders>
              <w:top w:val="single" w:sz="4" w:space="0" w:color="auto"/>
              <w:left w:val="none" w:sz="0" w:space="0" w:color="000000"/>
              <w:bottom w:val="single" w:sz="4" w:space="0" w:color="auto"/>
              <w:right w:val="single" w:sz="4" w:space="0" w:color="auto"/>
            </w:tcBorders>
            <w:shd w:val="clear" w:color="auto" w:fill="FFFFFF"/>
            <w:tcMar>
              <w:top w:w="0" w:type="dxa"/>
              <w:left w:w="0" w:type="dxa"/>
              <w:bottom w:w="0" w:type="dxa"/>
              <w:right w:w="0" w:type="dxa"/>
            </w:tcMar>
            <w:vAlign w:val="center"/>
          </w:tcPr>
          <w:p w14:paraId="4FD68745" w14:textId="5ED2BD9F"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5.8%</w:t>
            </w:r>
          </w:p>
          <w:p w14:paraId="0FCAAFD0" w14:textId="6B05929D"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(3.4%, 9.6%)</w:t>
            </w:r>
          </w:p>
        </w:tc>
      </w:tr>
      <w:tr w:rsidR="000B5DC7" w:rsidRPr="00835CFC" w14:paraId="7DE9C6C3" w14:textId="77777777" w:rsidTr="00835CFC">
        <w:trPr>
          <w:jc w:val="center"/>
        </w:trPr>
        <w:tc>
          <w:tcPr>
            <w:tcW w:w="0" w:type="auto"/>
            <w:shd w:val="clear" w:color="auto" w:fill="FAFAFA"/>
            <w:tcMar>
              <w:top w:w="0" w:type="dxa"/>
              <w:left w:w="0" w:type="dxa"/>
              <w:bottom w:w="0" w:type="dxa"/>
              <w:right w:w="0" w:type="dxa"/>
            </w:tcMar>
            <w:vAlign w:val="center"/>
          </w:tcPr>
          <w:p w14:paraId="31F01A7C" w14:textId="518510EA"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Prevalence of fever in the two weeks preceding the survey for children aged 6-59 months</w:t>
            </w:r>
          </w:p>
        </w:tc>
        <w:tc>
          <w:tcPr>
            <w:tcW w:w="0" w:type="auto"/>
            <w:shd w:val="clear" w:color="auto" w:fill="FAFAFA"/>
            <w:tcMar>
              <w:top w:w="0" w:type="dxa"/>
              <w:left w:w="0" w:type="dxa"/>
              <w:bottom w:w="0" w:type="dxa"/>
              <w:right w:w="0" w:type="dxa"/>
            </w:tcMar>
            <w:vAlign w:val="center"/>
          </w:tcPr>
          <w:p w14:paraId="6334E05C" w14:textId="78A3A9A5" w:rsidR="000B5DC7" w:rsidRPr="00835CFC" w:rsidRDefault="009F4470"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450</w:t>
            </w:r>
          </w:p>
        </w:tc>
        <w:tc>
          <w:tcPr>
            <w:tcW w:w="0" w:type="auto"/>
            <w:shd w:val="clear" w:color="auto" w:fill="FFFFFF"/>
            <w:tcMar>
              <w:top w:w="0" w:type="dxa"/>
              <w:left w:w="0" w:type="dxa"/>
              <w:bottom w:w="0" w:type="dxa"/>
              <w:right w:w="0" w:type="dxa"/>
            </w:tcMar>
            <w:vAlign w:val="center"/>
          </w:tcPr>
          <w:p w14:paraId="7E90170A" w14:textId="765F0A13"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164</w:t>
            </w:r>
          </w:p>
        </w:tc>
        <w:tc>
          <w:tcPr>
            <w:tcW w:w="0" w:type="auto"/>
            <w:tcBorders>
              <w:top w:val="single" w:sz="4" w:space="0" w:color="auto"/>
              <w:left w:val="none" w:sz="0" w:space="0" w:color="000000"/>
              <w:bottom w:val="single" w:sz="4" w:space="0" w:color="auto"/>
              <w:right w:val="single" w:sz="4" w:space="0" w:color="auto"/>
            </w:tcBorders>
            <w:shd w:val="clear" w:color="auto" w:fill="FFFFFF"/>
            <w:tcMar>
              <w:top w:w="0" w:type="dxa"/>
              <w:left w:w="0" w:type="dxa"/>
              <w:bottom w:w="0" w:type="dxa"/>
              <w:right w:w="0" w:type="dxa"/>
            </w:tcMar>
            <w:vAlign w:val="center"/>
          </w:tcPr>
          <w:p w14:paraId="317A5B0E" w14:textId="17B68BFA"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36.4%</w:t>
            </w:r>
          </w:p>
          <w:p w14:paraId="78D0D0DE" w14:textId="7410542E"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(29.5%, 44.0%)</w:t>
            </w:r>
          </w:p>
        </w:tc>
      </w:tr>
      <w:tr w:rsidR="000B5DC7" w:rsidRPr="00835CFC" w14:paraId="07D9C25B" w14:textId="77777777" w:rsidTr="00835CFC">
        <w:trPr>
          <w:jc w:val="center"/>
        </w:trPr>
        <w:tc>
          <w:tcPr>
            <w:tcW w:w="0" w:type="auto"/>
            <w:shd w:val="clear" w:color="auto" w:fill="FAFAFA"/>
            <w:tcMar>
              <w:top w:w="0" w:type="dxa"/>
              <w:left w:w="0" w:type="dxa"/>
              <w:bottom w:w="0" w:type="dxa"/>
              <w:right w:w="0" w:type="dxa"/>
            </w:tcMar>
            <w:vAlign w:val="center"/>
          </w:tcPr>
          <w:p w14:paraId="79E6F1CF" w14:textId="78E6B79F"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Prevalence of diarrhoea in the two weeks preceding the survey for children aged 6-59 months</w:t>
            </w:r>
          </w:p>
        </w:tc>
        <w:tc>
          <w:tcPr>
            <w:tcW w:w="0" w:type="auto"/>
            <w:shd w:val="clear" w:color="auto" w:fill="FAFAFA"/>
            <w:tcMar>
              <w:top w:w="0" w:type="dxa"/>
              <w:left w:w="0" w:type="dxa"/>
              <w:bottom w:w="0" w:type="dxa"/>
              <w:right w:w="0" w:type="dxa"/>
            </w:tcMar>
            <w:vAlign w:val="center"/>
          </w:tcPr>
          <w:p w14:paraId="2BD77E06" w14:textId="163F9E85" w:rsidR="000B5DC7" w:rsidRPr="00835CFC" w:rsidRDefault="009F4470"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449</w:t>
            </w:r>
          </w:p>
        </w:tc>
        <w:tc>
          <w:tcPr>
            <w:tcW w:w="0" w:type="auto"/>
            <w:shd w:val="clear" w:color="auto" w:fill="FFFFFF"/>
            <w:tcMar>
              <w:top w:w="0" w:type="dxa"/>
              <w:left w:w="0" w:type="dxa"/>
              <w:bottom w:w="0" w:type="dxa"/>
              <w:right w:w="0" w:type="dxa"/>
            </w:tcMar>
            <w:vAlign w:val="center"/>
          </w:tcPr>
          <w:p w14:paraId="050A6E58" w14:textId="37126A79"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 xml:space="preserve"> 91</w:t>
            </w:r>
          </w:p>
        </w:tc>
        <w:tc>
          <w:tcPr>
            <w:tcW w:w="0" w:type="auto"/>
            <w:tcBorders>
              <w:top w:val="single" w:sz="4" w:space="0" w:color="auto"/>
              <w:left w:val="none" w:sz="0" w:space="0" w:color="000000"/>
              <w:bottom w:val="single" w:sz="4" w:space="0" w:color="auto"/>
              <w:right w:val="single" w:sz="4" w:space="0" w:color="auto"/>
            </w:tcBorders>
            <w:shd w:val="clear" w:color="auto" w:fill="FFFFFF"/>
            <w:tcMar>
              <w:top w:w="0" w:type="dxa"/>
              <w:left w:w="0" w:type="dxa"/>
              <w:bottom w:w="0" w:type="dxa"/>
              <w:right w:w="0" w:type="dxa"/>
            </w:tcMar>
            <w:vAlign w:val="center"/>
          </w:tcPr>
          <w:p w14:paraId="361EE892" w14:textId="548DDE5F"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20.3%</w:t>
            </w:r>
          </w:p>
          <w:p w14:paraId="7C37E85A" w14:textId="3E03E2C1" w:rsidR="000B5DC7" w:rsidRPr="00835CFC" w:rsidRDefault="000B5DC7" w:rsidP="000B5DC7">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(15.0%, 26.8%)</w:t>
            </w:r>
          </w:p>
        </w:tc>
      </w:tr>
      <w:tr w:rsidR="007C3961" w:rsidRPr="00835CFC" w14:paraId="0F866188" w14:textId="77777777" w:rsidTr="00835CFC">
        <w:trPr>
          <w:jc w:val="center"/>
        </w:trPr>
        <w:tc>
          <w:tcPr>
            <w:tcW w:w="0" w:type="auto"/>
            <w:gridSpan w:val="4"/>
            <w:shd w:val="clear" w:color="auto" w:fill="FDC694" w:themeFill="accent1" w:themeFillTint="66"/>
            <w:tcMar>
              <w:top w:w="0" w:type="dxa"/>
              <w:left w:w="0" w:type="dxa"/>
              <w:bottom w:w="0" w:type="dxa"/>
              <w:right w:w="0" w:type="dxa"/>
            </w:tcMar>
            <w:vAlign w:val="center"/>
          </w:tcPr>
          <w:p w14:paraId="5B5CBB32" w14:textId="2B04C725"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Infant and Young Child Feeding</w:t>
            </w:r>
            <w:r w:rsidRPr="00835CFC">
              <w:rPr>
                <w:rFonts w:asciiTheme="majorHAnsi" w:eastAsia="DejaVu Sans" w:hAnsiTheme="majorHAnsi" w:cs="DejaVu Sans"/>
                <w:color w:val="000000"/>
                <w:sz w:val="22"/>
                <w:szCs w:val="22"/>
              </w:rPr>
              <w:t xml:space="preserve"> (IYCF)</w:t>
            </w:r>
          </w:p>
        </w:tc>
      </w:tr>
      <w:tr w:rsidR="00894732" w:rsidRPr="00835CFC" w14:paraId="7785E3A5"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E4A824" w14:textId="002B8595" w:rsidR="00894732" w:rsidRPr="00835CFC" w:rsidRDefault="00894732" w:rsidP="00894732">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Early initiation to breastfeeding (0-23 months)</w:t>
            </w:r>
          </w:p>
        </w:tc>
        <w:tc>
          <w:tcPr>
            <w:tcW w:w="0" w:type="auto"/>
            <w:shd w:val="clear" w:color="auto" w:fill="FAFAFA"/>
            <w:tcMar>
              <w:top w:w="0" w:type="dxa"/>
              <w:left w:w="0" w:type="dxa"/>
              <w:bottom w:w="0" w:type="dxa"/>
              <w:right w:w="0" w:type="dxa"/>
            </w:tcMar>
            <w:vAlign w:val="center"/>
          </w:tcPr>
          <w:p w14:paraId="5613638A" w14:textId="7B585482" w:rsidR="00894732"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172</w:t>
            </w:r>
          </w:p>
        </w:tc>
        <w:tc>
          <w:tcPr>
            <w:tcW w:w="0" w:type="auto"/>
            <w:shd w:val="clear" w:color="auto" w:fill="FAFAFA"/>
            <w:tcMar>
              <w:top w:w="0" w:type="dxa"/>
              <w:left w:w="0" w:type="dxa"/>
              <w:bottom w:w="0" w:type="dxa"/>
              <w:right w:w="0" w:type="dxa"/>
            </w:tcMar>
            <w:vAlign w:val="center"/>
          </w:tcPr>
          <w:p w14:paraId="40DE85A4" w14:textId="380C1315" w:rsidR="00894732"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167</w:t>
            </w:r>
          </w:p>
        </w:tc>
        <w:tc>
          <w:tcPr>
            <w:tcW w:w="0" w:type="auto"/>
            <w:tcBorders>
              <w:top w:val="single" w:sz="4" w:space="0" w:color="auto"/>
            </w:tcBorders>
            <w:shd w:val="clear" w:color="auto" w:fill="FAFAFA"/>
            <w:tcMar>
              <w:top w:w="0" w:type="dxa"/>
              <w:left w:w="0" w:type="dxa"/>
              <w:bottom w:w="0" w:type="dxa"/>
              <w:right w:w="0" w:type="dxa"/>
            </w:tcMar>
            <w:vAlign w:val="center"/>
          </w:tcPr>
          <w:p w14:paraId="3747C03C" w14:textId="10A604DB" w:rsidR="007D1543"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97.1%</w:t>
            </w:r>
          </w:p>
          <w:p w14:paraId="33B9BC9F" w14:textId="3FD3B15B" w:rsidR="00894732"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(92.1%, 99.0%)</w:t>
            </w:r>
          </w:p>
        </w:tc>
      </w:tr>
      <w:tr w:rsidR="00894732" w:rsidRPr="00835CFC" w14:paraId="2A570ED0"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C08F9C" w14:textId="20B05E27" w:rsidR="00894732" w:rsidRPr="00835CFC" w:rsidRDefault="00894732" w:rsidP="00894732">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Exclusive breastfeeding under 6 months (0-5 months)</w:t>
            </w:r>
          </w:p>
        </w:tc>
        <w:tc>
          <w:tcPr>
            <w:tcW w:w="0" w:type="auto"/>
            <w:shd w:val="clear" w:color="auto" w:fill="FAFAFA"/>
            <w:tcMar>
              <w:top w:w="0" w:type="dxa"/>
              <w:left w:w="0" w:type="dxa"/>
              <w:bottom w:w="0" w:type="dxa"/>
              <w:right w:w="0" w:type="dxa"/>
            </w:tcMar>
            <w:vAlign w:val="center"/>
          </w:tcPr>
          <w:p w14:paraId="66523048" w14:textId="57675C22" w:rsidR="00894732" w:rsidRPr="00835CFC" w:rsidRDefault="005C5AC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25</w:t>
            </w:r>
          </w:p>
        </w:tc>
        <w:tc>
          <w:tcPr>
            <w:tcW w:w="0" w:type="auto"/>
            <w:shd w:val="clear" w:color="auto" w:fill="FAFAFA"/>
            <w:tcMar>
              <w:top w:w="0" w:type="dxa"/>
              <w:left w:w="0" w:type="dxa"/>
              <w:bottom w:w="0" w:type="dxa"/>
              <w:right w:w="0" w:type="dxa"/>
            </w:tcMar>
            <w:vAlign w:val="center"/>
          </w:tcPr>
          <w:p w14:paraId="7A132779" w14:textId="2158CD7C" w:rsidR="00894732"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20</w:t>
            </w:r>
          </w:p>
        </w:tc>
        <w:tc>
          <w:tcPr>
            <w:tcW w:w="0" w:type="auto"/>
            <w:tcBorders>
              <w:top w:val="single" w:sz="4" w:space="0" w:color="auto"/>
            </w:tcBorders>
            <w:shd w:val="clear" w:color="auto" w:fill="FAFAFA"/>
            <w:tcMar>
              <w:top w:w="0" w:type="dxa"/>
              <w:left w:w="0" w:type="dxa"/>
              <w:bottom w:w="0" w:type="dxa"/>
              <w:right w:w="0" w:type="dxa"/>
            </w:tcMar>
            <w:vAlign w:val="center"/>
          </w:tcPr>
          <w:p w14:paraId="5DCD6709" w14:textId="32733E87" w:rsidR="007D1543"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80.0%</w:t>
            </w:r>
          </w:p>
          <w:p w14:paraId="4BDE4DAF" w14:textId="056A65BB" w:rsidR="00894732" w:rsidRPr="00835CFC" w:rsidRDefault="007D1543"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(56.6%, 92.5%)</w:t>
            </w:r>
          </w:p>
        </w:tc>
      </w:tr>
      <w:tr w:rsidR="00894732" w:rsidRPr="00835CFC" w14:paraId="13B1D60E"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8F20DDA" w14:textId="2918BA6A" w:rsidR="00894732" w:rsidRPr="00835CFC" w:rsidRDefault="00894732" w:rsidP="00894732">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Continued breastfeeding (12-23 months)</w:t>
            </w:r>
          </w:p>
        </w:tc>
        <w:tc>
          <w:tcPr>
            <w:tcW w:w="0" w:type="auto"/>
            <w:shd w:val="clear" w:color="auto" w:fill="FAFAFA"/>
            <w:tcMar>
              <w:top w:w="0" w:type="dxa"/>
              <w:left w:w="0" w:type="dxa"/>
              <w:bottom w:w="0" w:type="dxa"/>
              <w:right w:w="0" w:type="dxa"/>
            </w:tcMar>
            <w:vAlign w:val="center"/>
          </w:tcPr>
          <w:p w14:paraId="190A2503" w14:textId="3AD94E4C" w:rsidR="00894732"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99</w:t>
            </w:r>
          </w:p>
        </w:tc>
        <w:tc>
          <w:tcPr>
            <w:tcW w:w="0" w:type="auto"/>
            <w:shd w:val="clear" w:color="auto" w:fill="FAFAFA"/>
            <w:tcMar>
              <w:top w:w="0" w:type="dxa"/>
              <w:left w:w="0" w:type="dxa"/>
              <w:bottom w:w="0" w:type="dxa"/>
              <w:right w:w="0" w:type="dxa"/>
            </w:tcMar>
            <w:vAlign w:val="center"/>
          </w:tcPr>
          <w:p w14:paraId="353A9C23" w14:textId="704EB893" w:rsidR="00894732"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72</w:t>
            </w:r>
          </w:p>
        </w:tc>
        <w:tc>
          <w:tcPr>
            <w:tcW w:w="0" w:type="auto"/>
            <w:tcBorders>
              <w:top w:val="single" w:sz="4" w:space="0" w:color="auto"/>
            </w:tcBorders>
            <w:shd w:val="clear" w:color="auto" w:fill="FAFAFA"/>
            <w:tcMar>
              <w:top w:w="0" w:type="dxa"/>
              <w:left w:w="0" w:type="dxa"/>
              <w:bottom w:w="0" w:type="dxa"/>
              <w:right w:w="0" w:type="dxa"/>
            </w:tcMar>
            <w:vAlign w:val="center"/>
          </w:tcPr>
          <w:p w14:paraId="0A27C6AB" w14:textId="4FC47752" w:rsidR="00AD4EDE"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72.7%</w:t>
            </w:r>
          </w:p>
          <w:p w14:paraId="2484BF76" w14:textId="5402CAB8" w:rsidR="00894732"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(62.9%, 80.8%)</w:t>
            </w:r>
          </w:p>
        </w:tc>
      </w:tr>
      <w:tr w:rsidR="00894732" w:rsidRPr="00835CFC" w14:paraId="6F31FB6D"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AFECD5" w14:textId="34B437DF" w:rsidR="00894732" w:rsidRPr="00835CFC" w:rsidRDefault="00894732" w:rsidP="00894732">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Introduction of solid, semi-solid or soft foods (6-8 months</w:t>
            </w:r>
          </w:p>
        </w:tc>
        <w:tc>
          <w:tcPr>
            <w:tcW w:w="0" w:type="auto"/>
            <w:shd w:val="clear" w:color="auto" w:fill="FAFAFA"/>
            <w:tcMar>
              <w:top w:w="0" w:type="dxa"/>
              <w:left w:w="0" w:type="dxa"/>
              <w:bottom w:w="0" w:type="dxa"/>
              <w:right w:w="0" w:type="dxa"/>
            </w:tcMar>
            <w:vAlign w:val="center"/>
          </w:tcPr>
          <w:p w14:paraId="321D46A0" w14:textId="0FF98BFD" w:rsidR="00894732"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16</w:t>
            </w:r>
          </w:p>
        </w:tc>
        <w:tc>
          <w:tcPr>
            <w:tcW w:w="0" w:type="auto"/>
            <w:tcBorders>
              <w:bottom w:val="single" w:sz="4" w:space="0" w:color="auto"/>
            </w:tcBorders>
            <w:shd w:val="clear" w:color="auto" w:fill="FAFAFA"/>
            <w:tcMar>
              <w:top w:w="0" w:type="dxa"/>
              <w:left w:w="0" w:type="dxa"/>
              <w:bottom w:w="0" w:type="dxa"/>
              <w:right w:w="0" w:type="dxa"/>
            </w:tcMar>
            <w:vAlign w:val="center"/>
          </w:tcPr>
          <w:p w14:paraId="282B3827" w14:textId="7D57DCBF" w:rsidR="00894732"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11</w:t>
            </w:r>
          </w:p>
        </w:tc>
        <w:tc>
          <w:tcPr>
            <w:tcW w:w="0" w:type="auto"/>
            <w:tcBorders>
              <w:bottom w:val="single" w:sz="4" w:space="0" w:color="auto"/>
            </w:tcBorders>
            <w:shd w:val="clear" w:color="auto" w:fill="FAFAFA"/>
            <w:tcMar>
              <w:top w:w="0" w:type="dxa"/>
              <w:left w:w="0" w:type="dxa"/>
              <w:bottom w:w="0" w:type="dxa"/>
              <w:right w:w="0" w:type="dxa"/>
            </w:tcMar>
            <w:vAlign w:val="center"/>
          </w:tcPr>
          <w:p w14:paraId="69FA4C96" w14:textId="4C652D3E" w:rsidR="00AD4EDE"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68.8%</w:t>
            </w:r>
          </w:p>
          <w:p w14:paraId="1D15FA59" w14:textId="1EF9A34C" w:rsidR="00894732" w:rsidRPr="00835CFC" w:rsidRDefault="00AD4EDE" w:rsidP="00894732">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lastRenderedPageBreak/>
              <w:t>(38.4%, 88.6%)</w:t>
            </w:r>
          </w:p>
        </w:tc>
      </w:tr>
      <w:tr w:rsidR="00835CFC" w:rsidRPr="00835CFC" w14:paraId="76416196"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205EB4" w14:textId="00D024CE"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lastRenderedPageBreak/>
              <w:t>Minimum dietary diversity (6-23 months)</w:t>
            </w:r>
          </w:p>
        </w:tc>
        <w:tc>
          <w:tcPr>
            <w:tcW w:w="0" w:type="auto"/>
            <w:shd w:val="clear" w:color="auto" w:fill="FAFAFA"/>
            <w:tcMar>
              <w:top w:w="0" w:type="dxa"/>
              <w:left w:w="0" w:type="dxa"/>
              <w:bottom w:w="0" w:type="dxa"/>
              <w:right w:w="0" w:type="dxa"/>
            </w:tcMar>
            <w:vAlign w:val="center"/>
          </w:tcPr>
          <w:p w14:paraId="20DDD5A4" w14:textId="00BFA13E"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147</w:t>
            </w:r>
          </w:p>
        </w:tc>
        <w:tc>
          <w:tcPr>
            <w:tcW w:w="0" w:type="auto"/>
            <w:tcBorders>
              <w:top w:val="single" w:sz="4" w:space="0" w:color="auto"/>
              <w:left w:val="none" w:sz="0" w:space="0" w:color="000000"/>
              <w:bottom w:val="single" w:sz="4" w:space="0" w:color="auto"/>
              <w:right w:val="single" w:sz="4" w:space="0" w:color="auto"/>
            </w:tcBorders>
            <w:shd w:val="clear" w:color="auto" w:fill="FFFFFF"/>
            <w:tcMar>
              <w:top w:w="0" w:type="dxa"/>
              <w:left w:w="0" w:type="dxa"/>
              <w:bottom w:w="0" w:type="dxa"/>
              <w:right w:w="0" w:type="dxa"/>
            </w:tcMar>
            <w:vAlign w:val="center"/>
          </w:tcPr>
          <w:p w14:paraId="7959BB88" w14:textId="0A0C013C"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 xml:space="preserve"> 57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1A44DBF" w14:textId="2DDE9862"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38.8%</w:t>
            </w:r>
          </w:p>
          <w:p w14:paraId="027C5123" w14:textId="448C3399"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(29.0%, 49.5%)</w:t>
            </w:r>
          </w:p>
        </w:tc>
      </w:tr>
      <w:tr w:rsidR="00AD4EDE" w:rsidRPr="00835CFC" w14:paraId="049502AA"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8C88FB" w14:textId="6CBE85FB"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Minimum meal frequency (6-23 months)</w:t>
            </w:r>
          </w:p>
        </w:tc>
        <w:tc>
          <w:tcPr>
            <w:tcW w:w="0" w:type="auto"/>
            <w:shd w:val="clear" w:color="auto" w:fill="FAFAFA"/>
            <w:tcMar>
              <w:top w:w="0" w:type="dxa"/>
              <w:left w:w="0" w:type="dxa"/>
              <w:bottom w:w="0" w:type="dxa"/>
              <w:right w:w="0" w:type="dxa"/>
            </w:tcMar>
            <w:vAlign w:val="center"/>
          </w:tcPr>
          <w:p w14:paraId="166FDD87" w14:textId="66925662"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147</w:t>
            </w:r>
          </w:p>
        </w:tc>
        <w:tc>
          <w:tcPr>
            <w:tcW w:w="0" w:type="auto"/>
            <w:tcBorders>
              <w:top w:val="single" w:sz="4" w:space="0" w:color="auto"/>
              <w:left w:val="none" w:sz="0" w:space="0" w:color="000000"/>
              <w:bottom w:val="single" w:sz="4" w:space="0" w:color="auto"/>
              <w:right w:val="single" w:sz="4" w:space="0" w:color="auto"/>
            </w:tcBorders>
            <w:shd w:val="clear" w:color="auto" w:fill="FFFFFF"/>
            <w:tcMar>
              <w:top w:w="0" w:type="dxa"/>
              <w:left w:w="0" w:type="dxa"/>
              <w:bottom w:w="0" w:type="dxa"/>
              <w:right w:w="0" w:type="dxa"/>
            </w:tcMar>
            <w:vAlign w:val="center"/>
          </w:tcPr>
          <w:p w14:paraId="5C923D70" w14:textId="0998031D"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 xml:space="preserve"> 48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BE5040F" w14:textId="64CB560E"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32.7%</w:t>
            </w:r>
          </w:p>
          <w:p w14:paraId="714BD0C5" w14:textId="4F88BDC5"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(24.7%, 41.8%)</w:t>
            </w:r>
          </w:p>
        </w:tc>
      </w:tr>
      <w:tr w:rsidR="00AD4EDE" w:rsidRPr="00835CFC" w14:paraId="55FEDAA9"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EF448F5" w14:textId="6426DE80"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Minimum acceptable diet (6-23 months)</w:t>
            </w:r>
          </w:p>
        </w:tc>
        <w:tc>
          <w:tcPr>
            <w:tcW w:w="0" w:type="auto"/>
            <w:shd w:val="clear" w:color="auto" w:fill="FAFAFA"/>
            <w:tcMar>
              <w:top w:w="0" w:type="dxa"/>
              <w:left w:w="0" w:type="dxa"/>
              <w:bottom w:w="0" w:type="dxa"/>
              <w:right w:w="0" w:type="dxa"/>
            </w:tcMar>
            <w:vAlign w:val="center"/>
          </w:tcPr>
          <w:p w14:paraId="2D417E04" w14:textId="77777777"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147</w:t>
            </w:r>
          </w:p>
          <w:p w14:paraId="2C9FD026" w14:textId="412BD181"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p>
        </w:tc>
        <w:tc>
          <w:tcPr>
            <w:tcW w:w="0" w:type="auto"/>
            <w:shd w:val="clear" w:color="auto" w:fill="FAFAFA"/>
            <w:tcMar>
              <w:top w:w="0" w:type="dxa"/>
              <w:left w:w="0" w:type="dxa"/>
              <w:bottom w:w="0" w:type="dxa"/>
              <w:right w:w="0" w:type="dxa"/>
            </w:tcMar>
            <w:vAlign w:val="center"/>
          </w:tcPr>
          <w:p w14:paraId="0A010013" w14:textId="687EA7D0"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20</w:t>
            </w:r>
          </w:p>
        </w:tc>
        <w:tc>
          <w:tcPr>
            <w:tcW w:w="0" w:type="auto"/>
            <w:tcBorders>
              <w:top w:val="single" w:sz="4" w:space="0" w:color="auto"/>
            </w:tcBorders>
            <w:shd w:val="clear" w:color="auto" w:fill="FAFAFA"/>
            <w:tcMar>
              <w:top w:w="0" w:type="dxa"/>
              <w:left w:w="0" w:type="dxa"/>
              <w:bottom w:w="0" w:type="dxa"/>
              <w:right w:w="0" w:type="dxa"/>
            </w:tcMar>
            <w:vAlign w:val="center"/>
          </w:tcPr>
          <w:p w14:paraId="1491DB8E" w14:textId="0F9575FB"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13.6%</w:t>
            </w:r>
          </w:p>
          <w:p w14:paraId="636C8A34" w14:textId="67B136D8" w:rsidR="00AD4EDE" w:rsidRPr="00835CFC" w:rsidRDefault="00AD4EDE" w:rsidP="00AD4ED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(8.2%, 21.8%)</w:t>
            </w:r>
          </w:p>
        </w:tc>
      </w:tr>
      <w:tr w:rsidR="007C3961" w:rsidRPr="00835CFC" w14:paraId="715CB664" w14:textId="77777777" w:rsidTr="00835CFC">
        <w:trPr>
          <w:jc w:val="center"/>
        </w:trPr>
        <w:tc>
          <w:tcPr>
            <w:tcW w:w="0" w:type="auto"/>
            <w:gridSpan w:val="4"/>
            <w:tcBorders>
              <w:top w:val="single" w:sz="8" w:space="0" w:color="000000"/>
              <w:left w:val="single" w:sz="8" w:space="0" w:color="000000"/>
              <w:bottom w:val="single" w:sz="8" w:space="0" w:color="000000"/>
            </w:tcBorders>
            <w:shd w:val="clear" w:color="auto" w:fill="FDC694" w:themeFill="accent1" w:themeFillTint="66"/>
            <w:tcMar>
              <w:top w:w="0" w:type="dxa"/>
              <w:left w:w="0" w:type="dxa"/>
              <w:bottom w:w="0" w:type="dxa"/>
              <w:right w:w="0" w:type="dxa"/>
            </w:tcMar>
            <w:vAlign w:val="center"/>
          </w:tcPr>
          <w:p w14:paraId="17960579" w14:textId="063A43A3" w:rsidR="007C3961" w:rsidRPr="00835CFC" w:rsidRDefault="007C3961" w:rsidP="007C3961">
            <w:pPr>
              <w:pBdr>
                <w:top w:val="none" w:sz="0" w:space="0" w:color="000000"/>
                <w:left w:val="none" w:sz="0" w:space="0" w:color="000000"/>
                <w:bottom w:val="none" w:sz="0" w:space="0" w:color="000000"/>
                <w:right w:val="none" w:sz="0" w:space="0" w:color="000000"/>
              </w:pBdr>
              <w:shd w:val="clear" w:color="auto" w:fill="FDC694" w:themeFill="accent1" w:themeFillTint="66"/>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Food Security</w:t>
            </w:r>
          </w:p>
        </w:tc>
      </w:tr>
      <w:tr w:rsidR="00425B3A" w:rsidRPr="00835CFC" w14:paraId="371378D6" w14:textId="77777777" w:rsidTr="00835CFC">
        <w:trPr>
          <w:trHeight w:val="71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58D460" w14:textId="1DC19354"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HHs with Acceptable FCS</w:t>
            </w:r>
          </w:p>
        </w:tc>
        <w:tc>
          <w:tcPr>
            <w:tcW w:w="0" w:type="auto"/>
            <w:shd w:val="clear" w:color="auto" w:fill="FAFAFA"/>
            <w:tcMar>
              <w:top w:w="0" w:type="dxa"/>
              <w:left w:w="0" w:type="dxa"/>
              <w:bottom w:w="0" w:type="dxa"/>
              <w:right w:w="0" w:type="dxa"/>
            </w:tcMar>
            <w:vAlign w:val="center"/>
          </w:tcPr>
          <w:p w14:paraId="16D8357A" w14:textId="77132416"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621</w:t>
            </w:r>
          </w:p>
        </w:tc>
        <w:tc>
          <w:tcPr>
            <w:tcW w:w="0" w:type="auto"/>
            <w:shd w:val="clear" w:color="auto" w:fill="FAFAFA"/>
            <w:tcMar>
              <w:top w:w="0" w:type="dxa"/>
              <w:left w:w="0" w:type="dxa"/>
              <w:bottom w:w="0" w:type="dxa"/>
              <w:right w:w="0" w:type="dxa"/>
            </w:tcMar>
            <w:vAlign w:val="center"/>
          </w:tcPr>
          <w:p w14:paraId="7F88518C" w14:textId="61D8877E"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366</w:t>
            </w:r>
          </w:p>
        </w:tc>
        <w:tc>
          <w:tcPr>
            <w:tcW w:w="0" w:type="auto"/>
            <w:shd w:val="clear" w:color="auto" w:fill="FAFAFA"/>
            <w:tcMar>
              <w:top w:w="0" w:type="dxa"/>
              <w:left w:w="0" w:type="dxa"/>
              <w:bottom w:w="0" w:type="dxa"/>
              <w:right w:w="0" w:type="dxa"/>
            </w:tcMar>
            <w:vAlign w:val="center"/>
          </w:tcPr>
          <w:p w14:paraId="0B954CC8" w14:textId="3FA9EFFB"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58.9%</w:t>
            </w:r>
          </w:p>
          <w:p w14:paraId="2BAD6BF6" w14:textId="0C0DE19F"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(51.7%, 65.8%)</w:t>
            </w:r>
          </w:p>
        </w:tc>
      </w:tr>
      <w:tr w:rsidR="00425B3A" w:rsidRPr="00835CFC" w14:paraId="0B0E4D8F"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E3FF4E" w14:textId="263DC17A"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HHs with little or no hunger</w:t>
            </w:r>
          </w:p>
        </w:tc>
        <w:tc>
          <w:tcPr>
            <w:tcW w:w="0" w:type="auto"/>
            <w:shd w:val="clear" w:color="auto" w:fill="FAFAFA"/>
            <w:tcMar>
              <w:top w:w="0" w:type="dxa"/>
              <w:left w:w="0" w:type="dxa"/>
              <w:bottom w:w="0" w:type="dxa"/>
              <w:right w:w="0" w:type="dxa"/>
            </w:tcMar>
            <w:vAlign w:val="center"/>
          </w:tcPr>
          <w:p w14:paraId="39C60CA8" w14:textId="319BAF68"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623</w:t>
            </w:r>
          </w:p>
        </w:tc>
        <w:tc>
          <w:tcPr>
            <w:tcW w:w="0" w:type="auto"/>
            <w:shd w:val="clear" w:color="auto" w:fill="FAFAFA"/>
            <w:tcMar>
              <w:top w:w="0" w:type="dxa"/>
              <w:left w:w="0" w:type="dxa"/>
              <w:bottom w:w="0" w:type="dxa"/>
              <w:right w:w="0" w:type="dxa"/>
            </w:tcMar>
            <w:vAlign w:val="center"/>
          </w:tcPr>
          <w:p w14:paraId="7DE06125" w14:textId="75E262A9"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350</w:t>
            </w:r>
          </w:p>
        </w:tc>
        <w:tc>
          <w:tcPr>
            <w:tcW w:w="0" w:type="auto"/>
            <w:shd w:val="clear" w:color="auto" w:fill="FAFAFA"/>
            <w:tcMar>
              <w:top w:w="0" w:type="dxa"/>
              <w:left w:w="0" w:type="dxa"/>
              <w:bottom w:w="0" w:type="dxa"/>
              <w:right w:w="0" w:type="dxa"/>
            </w:tcMar>
            <w:vAlign w:val="center"/>
          </w:tcPr>
          <w:p w14:paraId="18823C6A" w14:textId="1B42DACE"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56.2%</w:t>
            </w:r>
          </w:p>
          <w:p w14:paraId="23FBB9A9" w14:textId="2B69E4FB" w:rsidR="00425B3A" w:rsidRPr="00835CFC" w:rsidRDefault="00425B3A" w:rsidP="00425B3A">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(48.3%, 63.8%)</w:t>
            </w:r>
          </w:p>
        </w:tc>
      </w:tr>
      <w:tr w:rsidR="007C3961" w:rsidRPr="00835CFC" w14:paraId="2F4A8DF5" w14:textId="77777777" w:rsidTr="00835CFC">
        <w:trPr>
          <w:jc w:val="center"/>
        </w:trPr>
        <w:tc>
          <w:tcPr>
            <w:tcW w:w="0" w:type="auto"/>
            <w:gridSpan w:val="4"/>
            <w:tcBorders>
              <w:top w:val="single" w:sz="8" w:space="0" w:color="000000"/>
              <w:left w:val="single" w:sz="8" w:space="0" w:color="000000"/>
              <w:bottom w:val="single" w:sz="8" w:space="0" w:color="000000"/>
            </w:tcBorders>
            <w:shd w:val="clear" w:color="auto" w:fill="FDC694" w:themeFill="accent1" w:themeFillTint="66"/>
            <w:tcMar>
              <w:top w:w="0" w:type="dxa"/>
              <w:left w:w="0" w:type="dxa"/>
              <w:bottom w:w="0" w:type="dxa"/>
              <w:right w:w="0" w:type="dxa"/>
            </w:tcMar>
            <w:vAlign w:val="center"/>
          </w:tcPr>
          <w:p w14:paraId="2ECDFC08" w14:textId="5BC0D4DA"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Water Sanitation and Hygiene</w:t>
            </w:r>
            <w:r w:rsidRPr="00835CFC">
              <w:rPr>
                <w:rFonts w:asciiTheme="majorHAnsi" w:eastAsia="DejaVu Sans" w:hAnsiTheme="majorHAnsi" w:cs="DejaVu Sans"/>
                <w:color w:val="000000"/>
                <w:sz w:val="22"/>
                <w:szCs w:val="22"/>
              </w:rPr>
              <w:t xml:space="preserve"> (WASH)</w:t>
            </w:r>
          </w:p>
        </w:tc>
      </w:tr>
      <w:tr w:rsidR="007C3961" w:rsidRPr="00835CFC" w14:paraId="673CFD95"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6B5E1B8" w14:textId="63B0FF39"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 xml:space="preserve">HHs with improved sanitation facilities </w:t>
            </w:r>
          </w:p>
        </w:tc>
        <w:tc>
          <w:tcPr>
            <w:tcW w:w="0" w:type="auto"/>
            <w:shd w:val="clear" w:color="auto" w:fill="FAFAFA"/>
            <w:tcMar>
              <w:top w:w="0" w:type="dxa"/>
              <w:left w:w="0" w:type="dxa"/>
              <w:bottom w:w="0" w:type="dxa"/>
              <w:right w:w="0" w:type="dxa"/>
            </w:tcMar>
            <w:vAlign w:val="center"/>
          </w:tcPr>
          <w:p w14:paraId="4AA1390B" w14:textId="3AEBAD1B" w:rsidR="007C3961" w:rsidRPr="00835CFC" w:rsidRDefault="00096F7D"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624</w:t>
            </w:r>
          </w:p>
        </w:tc>
        <w:tc>
          <w:tcPr>
            <w:tcW w:w="0" w:type="auto"/>
            <w:shd w:val="clear" w:color="auto" w:fill="FAFAFA"/>
            <w:tcMar>
              <w:top w:w="0" w:type="dxa"/>
              <w:left w:w="0" w:type="dxa"/>
              <w:bottom w:w="0" w:type="dxa"/>
              <w:right w:w="0" w:type="dxa"/>
            </w:tcMar>
            <w:vAlign w:val="center"/>
          </w:tcPr>
          <w:p w14:paraId="261635BC" w14:textId="311C1B98" w:rsidR="007C3961" w:rsidRPr="00835CFC" w:rsidRDefault="00096F7D"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336</w:t>
            </w:r>
          </w:p>
        </w:tc>
        <w:tc>
          <w:tcPr>
            <w:tcW w:w="0" w:type="auto"/>
            <w:shd w:val="clear" w:color="auto" w:fill="FAFAFA"/>
            <w:tcMar>
              <w:top w:w="0" w:type="dxa"/>
              <w:left w:w="0" w:type="dxa"/>
              <w:bottom w:w="0" w:type="dxa"/>
              <w:right w:w="0" w:type="dxa"/>
            </w:tcMar>
            <w:vAlign w:val="center"/>
          </w:tcPr>
          <w:p w14:paraId="265592FC" w14:textId="5E61998C" w:rsidR="00096F7D" w:rsidRPr="00835CFC" w:rsidRDefault="00096F7D"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53.8%</w:t>
            </w:r>
          </w:p>
          <w:p w14:paraId="3D1845DD" w14:textId="36CE606A" w:rsidR="007C3961" w:rsidRPr="00835CFC" w:rsidRDefault="00096F7D"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(43.2%, 64.2%)</w:t>
            </w:r>
          </w:p>
        </w:tc>
      </w:tr>
      <w:tr w:rsidR="007C3961" w:rsidRPr="00835CFC" w14:paraId="16212EFE"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0EA609" w14:textId="53AC6401"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Proportion of Households getting water from protected/treated water sources</w:t>
            </w:r>
          </w:p>
        </w:tc>
        <w:tc>
          <w:tcPr>
            <w:tcW w:w="0" w:type="auto"/>
            <w:shd w:val="clear" w:color="auto" w:fill="FAFAFA"/>
            <w:tcMar>
              <w:top w:w="0" w:type="dxa"/>
              <w:left w:w="0" w:type="dxa"/>
              <w:bottom w:w="0" w:type="dxa"/>
              <w:right w:w="0" w:type="dxa"/>
            </w:tcMar>
            <w:vAlign w:val="center"/>
          </w:tcPr>
          <w:p w14:paraId="370497F6" w14:textId="27F3ACDD"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623</w:t>
            </w:r>
          </w:p>
        </w:tc>
        <w:tc>
          <w:tcPr>
            <w:tcW w:w="0" w:type="auto"/>
            <w:shd w:val="clear" w:color="auto" w:fill="FAFAFA"/>
            <w:tcMar>
              <w:top w:w="0" w:type="dxa"/>
              <w:left w:w="0" w:type="dxa"/>
              <w:bottom w:w="0" w:type="dxa"/>
              <w:right w:w="0" w:type="dxa"/>
            </w:tcMar>
            <w:vAlign w:val="center"/>
          </w:tcPr>
          <w:p w14:paraId="46469966" w14:textId="5651D150"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432</w:t>
            </w:r>
          </w:p>
        </w:tc>
        <w:tc>
          <w:tcPr>
            <w:tcW w:w="0" w:type="auto"/>
            <w:shd w:val="clear" w:color="auto" w:fill="FAFAFA"/>
            <w:tcMar>
              <w:top w:w="0" w:type="dxa"/>
              <w:left w:w="0" w:type="dxa"/>
              <w:bottom w:w="0" w:type="dxa"/>
              <w:right w:w="0" w:type="dxa"/>
            </w:tcMar>
            <w:vAlign w:val="center"/>
          </w:tcPr>
          <w:p w14:paraId="5FD1F9AE" w14:textId="3CE7CD9F"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69.3%</w:t>
            </w:r>
          </w:p>
          <w:p w14:paraId="1D77C083" w14:textId="30B9B7EE" w:rsidR="007C3961" w:rsidRPr="00835CFC" w:rsidRDefault="007C396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(55.1%, 80.7%)</w:t>
            </w:r>
          </w:p>
        </w:tc>
      </w:tr>
      <w:tr w:rsidR="00096F7D" w:rsidRPr="00835CFC" w14:paraId="25616407" w14:textId="77777777" w:rsidTr="00835CFC">
        <w:trPr>
          <w:jc w:val="center"/>
        </w:trPr>
        <w:tc>
          <w:tcPr>
            <w:tcW w:w="0" w:type="auto"/>
            <w:gridSpan w:val="4"/>
            <w:tcBorders>
              <w:top w:val="single" w:sz="8" w:space="0" w:color="000000"/>
              <w:left w:val="single" w:sz="8" w:space="0" w:color="000000"/>
              <w:bottom w:val="single" w:sz="8" w:space="0" w:color="000000"/>
            </w:tcBorders>
            <w:shd w:val="clear" w:color="auto" w:fill="FDC694" w:themeFill="accent1" w:themeFillTint="66"/>
            <w:tcMar>
              <w:top w:w="0" w:type="dxa"/>
              <w:left w:w="0" w:type="dxa"/>
              <w:bottom w:w="0" w:type="dxa"/>
              <w:right w:w="0" w:type="dxa"/>
            </w:tcMar>
            <w:vAlign w:val="center"/>
          </w:tcPr>
          <w:p w14:paraId="4ACC9448" w14:textId="1BCC74A0" w:rsidR="00096F7D" w:rsidRPr="00835CFC" w:rsidRDefault="00096F7D" w:rsidP="00096F7D">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Additional Indicators in the survey</w:t>
            </w:r>
          </w:p>
        </w:tc>
      </w:tr>
      <w:tr w:rsidR="007C3961" w:rsidRPr="00835CFC" w14:paraId="66149C69"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4D8DD8D" w14:textId="051A85EF" w:rsidR="007C3961" w:rsidRPr="00835CFC" w:rsidRDefault="00096F7D"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 xml:space="preserve">Percentage of mothers of children </w:t>
            </w:r>
            <w:r w:rsidR="00B14839" w:rsidRPr="00835CFC">
              <w:rPr>
                <w:rFonts w:asciiTheme="majorHAnsi" w:eastAsia="DejaVu Sans" w:hAnsiTheme="majorHAnsi" w:cs="DejaVu Sans"/>
                <w:color w:val="000000"/>
                <w:sz w:val="22"/>
                <w:szCs w:val="22"/>
              </w:rPr>
              <w:t>aged</w:t>
            </w:r>
            <w:r w:rsidRPr="00835CFC">
              <w:rPr>
                <w:rFonts w:asciiTheme="majorHAnsi" w:eastAsia="DejaVu Sans" w:hAnsiTheme="majorHAnsi" w:cs="DejaVu Sans"/>
                <w:color w:val="000000"/>
                <w:sz w:val="22"/>
                <w:szCs w:val="22"/>
              </w:rPr>
              <w:t xml:space="preserve"> 0–23 months who received or purchased any iron, iron syrup or iron-folate tablets during the most recent pregnancy while pregnant with their youngest child</w:t>
            </w:r>
          </w:p>
        </w:tc>
        <w:tc>
          <w:tcPr>
            <w:tcW w:w="0" w:type="auto"/>
            <w:shd w:val="clear" w:color="auto" w:fill="FAFAFA"/>
            <w:tcMar>
              <w:top w:w="0" w:type="dxa"/>
              <w:left w:w="0" w:type="dxa"/>
              <w:bottom w:w="0" w:type="dxa"/>
              <w:right w:w="0" w:type="dxa"/>
            </w:tcMar>
            <w:vAlign w:val="center"/>
          </w:tcPr>
          <w:p w14:paraId="7EB842C9" w14:textId="623AA6D6" w:rsidR="007C3961"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201</w:t>
            </w:r>
          </w:p>
        </w:tc>
        <w:tc>
          <w:tcPr>
            <w:tcW w:w="0" w:type="auto"/>
            <w:shd w:val="clear" w:color="auto" w:fill="FAFAFA"/>
            <w:tcMar>
              <w:top w:w="0" w:type="dxa"/>
              <w:left w:w="0" w:type="dxa"/>
              <w:bottom w:w="0" w:type="dxa"/>
              <w:right w:w="0" w:type="dxa"/>
            </w:tcMar>
            <w:vAlign w:val="center"/>
          </w:tcPr>
          <w:p w14:paraId="7DE70DAE" w14:textId="0FA36B86" w:rsidR="007C3961"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181</w:t>
            </w:r>
          </w:p>
        </w:tc>
        <w:tc>
          <w:tcPr>
            <w:tcW w:w="0" w:type="auto"/>
            <w:shd w:val="clear" w:color="auto" w:fill="FAFAFA"/>
            <w:tcMar>
              <w:top w:w="0" w:type="dxa"/>
              <w:left w:w="0" w:type="dxa"/>
              <w:bottom w:w="0" w:type="dxa"/>
              <w:right w:w="0" w:type="dxa"/>
            </w:tcMar>
            <w:vAlign w:val="center"/>
          </w:tcPr>
          <w:p w14:paraId="56E98D96" w14:textId="77777777" w:rsidR="007C3961"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90%</w:t>
            </w:r>
          </w:p>
          <w:p w14:paraId="2404C55F" w14:textId="109D2CEB" w:rsidR="00A35411"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w:t>
            </w:r>
            <w:r w:rsidRPr="00835CFC">
              <w:rPr>
                <w:rFonts w:asciiTheme="majorHAnsi" w:eastAsia="DejaVu Sans" w:hAnsiTheme="majorHAnsi" w:cs="DejaVu Sans"/>
                <w:color w:val="000000"/>
                <w:sz w:val="22"/>
                <w:szCs w:val="22"/>
              </w:rPr>
              <w:t>8</w:t>
            </w:r>
            <w:r w:rsidRPr="00835CFC">
              <w:rPr>
                <w:rFonts w:asciiTheme="majorHAnsi" w:eastAsia="DejaVu Sans" w:hAnsiTheme="majorHAnsi" w:cs="DejaVu Sans"/>
                <w:color w:val="000000"/>
                <w:sz w:val="22"/>
                <w:szCs w:val="22"/>
              </w:rPr>
              <w:t>5.</w:t>
            </w:r>
            <w:r w:rsidRPr="00835CFC">
              <w:rPr>
                <w:rFonts w:asciiTheme="majorHAnsi" w:eastAsia="DejaVu Sans" w:hAnsiTheme="majorHAnsi" w:cs="DejaVu Sans"/>
                <w:color w:val="000000"/>
                <w:sz w:val="22"/>
                <w:szCs w:val="22"/>
              </w:rPr>
              <w:t>9</w:t>
            </w:r>
            <w:r w:rsidRPr="00835CFC">
              <w:rPr>
                <w:rFonts w:asciiTheme="majorHAnsi" w:eastAsia="DejaVu Sans" w:hAnsiTheme="majorHAnsi" w:cs="DejaVu Sans"/>
                <w:color w:val="000000"/>
                <w:sz w:val="22"/>
                <w:szCs w:val="22"/>
              </w:rPr>
              <w:t xml:space="preserve">%, </w:t>
            </w:r>
            <w:r w:rsidRPr="00835CFC">
              <w:rPr>
                <w:rFonts w:asciiTheme="majorHAnsi" w:eastAsia="DejaVu Sans" w:hAnsiTheme="majorHAnsi" w:cs="DejaVu Sans"/>
                <w:color w:val="000000"/>
                <w:sz w:val="22"/>
                <w:szCs w:val="22"/>
              </w:rPr>
              <w:t>94.2</w:t>
            </w:r>
            <w:r w:rsidRPr="00835CFC">
              <w:rPr>
                <w:rFonts w:asciiTheme="majorHAnsi" w:eastAsia="DejaVu Sans" w:hAnsiTheme="majorHAnsi" w:cs="DejaVu Sans"/>
                <w:color w:val="000000"/>
                <w:sz w:val="22"/>
                <w:szCs w:val="22"/>
              </w:rPr>
              <w:t>%)</w:t>
            </w:r>
          </w:p>
        </w:tc>
      </w:tr>
      <w:tr w:rsidR="00096F7D" w:rsidRPr="00835CFC" w14:paraId="327E0959"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30E8F3" w14:textId="07421B66" w:rsidR="00096F7D"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lang w:val="en-GB"/>
              </w:rPr>
              <w:t xml:space="preserve">Percentage of mothers of children aged 0–23 months who received or iron, iron syrup or iron-folate tablets and took them for </w:t>
            </w:r>
            <w:r w:rsidRPr="00835CFC">
              <w:rPr>
                <w:rFonts w:asciiTheme="majorHAnsi" w:eastAsia="DejaVu Sans" w:hAnsiTheme="majorHAnsi" w:cs="DejaVu Sans"/>
                <w:b/>
                <w:bCs/>
                <w:color w:val="000000"/>
                <w:sz w:val="22"/>
                <w:szCs w:val="22"/>
                <w:lang w:val="en-GB"/>
              </w:rPr>
              <w:t xml:space="preserve">90 or more days </w:t>
            </w:r>
            <w:r w:rsidRPr="00835CFC">
              <w:rPr>
                <w:rFonts w:asciiTheme="majorHAnsi" w:eastAsia="DejaVu Sans" w:hAnsiTheme="majorHAnsi" w:cs="DejaVu Sans"/>
                <w:color w:val="000000"/>
                <w:sz w:val="22"/>
                <w:szCs w:val="22"/>
                <w:lang w:val="en-GB"/>
              </w:rPr>
              <w:t>while pregnant with their youngest child</w:t>
            </w:r>
          </w:p>
        </w:tc>
        <w:tc>
          <w:tcPr>
            <w:tcW w:w="0" w:type="auto"/>
            <w:shd w:val="clear" w:color="auto" w:fill="FAFAFA"/>
            <w:tcMar>
              <w:top w:w="0" w:type="dxa"/>
              <w:left w:w="0" w:type="dxa"/>
              <w:bottom w:w="0" w:type="dxa"/>
              <w:right w:w="0" w:type="dxa"/>
            </w:tcMar>
            <w:vAlign w:val="center"/>
          </w:tcPr>
          <w:p w14:paraId="52657ACF" w14:textId="1CFD8BC6" w:rsidR="00096F7D"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201</w:t>
            </w:r>
          </w:p>
        </w:tc>
        <w:tc>
          <w:tcPr>
            <w:tcW w:w="0" w:type="auto"/>
            <w:shd w:val="clear" w:color="auto" w:fill="FAFAFA"/>
            <w:tcMar>
              <w:top w:w="0" w:type="dxa"/>
              <w:left w:w="0" w:type="dxa"/>
              <w:bottom w:w="0" w:type="dxa"/>
              <w:right w:w="0" w:type="dxa"/>
            </w:tcMar>
            <w:vAlign w:val="center"/>
          </w:tcPr>
          <w:p w14:paraId="1A252A72" w14:textId="28909613" w:rsidR="00096F7D"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114</w:t>
            </w:r>
          </w:p>
        </w:tc>
        <w:tc>
          <w:tcPr>
            <w:tcW w:w="0" w:type="auto"/>
            <w:shd w:val="clear" w:color="auto" w:fill="FAFAFA"/>
            <w:tcMar>
              <w:top w:w="0" w:type="dxa"/>
              <w:left w:w="0" w:type="dxa"/>
              <w:bottom w:w="0" w:type="dxa"/>
              <w:right w:w="0" w:type="dxa"/>
            </w:tcMar>
            <w:vAlign w:val="center"/>
          </w:tcPr>
          <w:p w14:paraId="4113EE6A" w14:textId="55EC97CA" w:rsidR="00A35411" w:rsidRPr="00835CFC" w:rsidRDefault="00A35411" w:rsidP="00A3541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56.7</w:t>
            </w:r>
            <w:r w:rsidRPr="00835CFC">
              <w:rPr>
                <w:rFonts w:asciiTheme="majorHAnsi" w:eastAsia="DejaVu Sans" w:hAnsiTheme="majorHAnsi" w:cs="DejaVu Sans"/>
                <w:color w:val="000000"/>
                <w:sz w:val="22"/>
                <w:szCs w:val="22"/>
              </w:rPr>
              <w:t>%</w:t>
            </w:r>
          </w:p>
          <w:p w14:paraId="1EDA29B0" w14:textId="10C42229" w:rsidR="00096F7D" w:rsidRPr="00835CFC" w:rsidRDefault="00A35411" w:rsidP="00A3541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w:t>
            </w:r>
            <w:r w:rsidRPr="00835CFC">
              <w:rPr>
                <w:rFonts w:asciiTheme="majorHAnsi" w:eastAsia="DejaVu Sans" w:hAnsiTheme="majorHAnsi" w:cs="DejaVu Sans"/>
                <w:color w:val="000000"/>
                <w:sz w:val="22"/>
                <w:szCs w:val="22"/>
              </w:rPr>
              <w:t>49</w:t>
            </w:r>
            <w:r w:rsidRPr="00835CFC">
              <w:rPr>
                <w:rFonts w:asciiTheme="majorHAnsi" w:eastAsia="DejaVu Sans" w:hAnsiTheme="majorHAnsi" w:cs="DejaVu Sans"/>
                <w:color w:val="000000"/>
                <w:sz w:val="22"/>
                <w:szCs w:val="22"/>
              </w:rPr>
              <w:t xml:space="preserve">.9%, </w:t>
            </w:r>
            <w:r w:rsidRPr="00835CFC">
              <w:rPr>
                <w:rFonts w:asciiTheme="majorHAnsi" w:eastAsia="DejaVu Sans" w:hAnsiTheme="majorHAnsi" w:cs="DejaVu Sans"/>
                <w:color w:val="000000"/>
                <w:sz w:val="22"/>
                <w:szCs w:val="22"/>
              </w:rPr>
              <w:t>63</w:t>
            </w:r>
            <w:r w:rsidRPr="00835CFC">
              <w:rPr>
                <w:rFonts w:asciiTheme="majorHAnsi" w:eastAsia="DejaVu Sans" w:hAnsiTheme="majorHAnsi" w:cs="DejaVu Sans"/>
                <w:color w:val="000000"/>
                <w:sz w:val="22"/>
                <w:szCs w:val="22"/>
              </w:rPr>
              <w:t>.</w:t>
            </w:r>
            <w:r w:rsidRPr="00835CFC">
              <w:rPr>
                <w:rFonts w:asciiTheme="majorHAnsi" w:eastAsia="DejaVu Sans" w:hAnsiTheme="majorHAnsi" w:cs="DejaVu Sans"/>
                <w:color w:val="000000"/>
                <w:sz w:val="22"/>
                <w:szCs w:val="22"/>
              </w:rPr>
              <w:t>6</w:t>
            </w:r>
            <w:r w:rsidRPr="00835CFC">
              <w:rPr>
                <w:rFonts w:asciiTheme="majorHAnsi" w:eastAsia="DejaVu Sans" w:hAnsiTheme="majorHAnsi" w:cs="DejaVu Sans"/>
                <w:color w:val="000000"/>
                <w:sz w:val="22"/>
                <w:szCs w:val="22"/>
              </w:rPr>
              <w:t>%)</w:t>
            </w:r>
          </w:p>
        </w:tc>
      </w:tr>
      <w:tr w:rsidR="00B14839" w:rsidRPr="00835CFC" w14:paraId="297CBA76" w14:textId="77777777" w:rsidTr="00835CFC">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8E7C4A" w14:textId="512BCBE0" w:rsidR="00B14839" w:rsidRPr="00835CFC" w:rsidRDefault="00201156" w:rsidP="007C3961">
            <w:pPr>
              <w:pBdr>
                <w:top w:val="none" w:sz="0" w:space="0" w:color="000000"/>
                <w:left w:val="none" w:sz="0" w:space="0" w:color="000000"/>
                <w:bottom w:val="none" w:sz="0" w:space="0" w:color="000000"/>
                <w:right w:val="none" w:sz="0" w:space="0" w:color="000000"/>
              </w:pBdr>
              <w:spacing w:before="80" w:after="80"/>
              <w:ind w:left="80" w:right="80"/>
              <w:rPr>
                <w:rFonts w:asciiTheme="majorHAnsi" w:eastAsia="DejaVu Sans" w:hAnsiTheme="majorHAnsi" w:cs="DejaVu Sans"/>
                <w:color w:val="000000"/>
                <w:sz w:val="22"/>
                <w:szCs w:val="22"/>
                <w:lang w:val="en-GB"/>
              </w:rPr>
            </w:pPr>
            <w:r w:rsidRPr="00835CFC">
              <w:rPr>
                <w:rFonts w:asciiTheme="majorHAnsi" w:eastAsia="DejaVu Sans" w:hAnsiTheme="majorHAnsi" w:cs="DejaVu Sans"/>
                <w:color w:val="000000"/>
                <w:sz w:val="22"/>
                <w:szCs w:val="22"/>
                <w:lang w:val="en-GB"/>
              </w:rPr>
              <w:t>Percentage of mothers of children aged 0–23 months who were attended during their last pregnancy that led to a live birth at least once by skilled health personnel</w:t>
            </w:r>
          </w:p>
        </w:tc>
        <w:tc>
          <w:tcPr>
            <w:tcW w:w="0" w:type="auto"/>
            <w:shd w:val="clear" w:color="auto" w:fill="FAFAFA"/>
            <w:tcMar>
              <w:top w:w="0" w:type="dxa"/>
              <w:left w:w="0" w:type="dxa"/>
              <w:bottom w:w="0" w:type="dxa"/>
              <w:right w:w="0" w:type="dxa"/>
            </w:tcMar>
            <w:vAlign w:val="center"/>
          </w:tcPr>
          <w:p w14:paraId="1F42EDAA" w14:textId="6ABE1603" w:rsidR="00B14839" w:rsidRPr="00835CFC" w:rsidRDefault="00835CFC"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lang w:val="en-GB"/>
              </w:rPr>
            </w:pPr>
            <w:r w:rsidRPr="00835CFC">
              <w:rPr>
                <w:rFonts w:asciiTheme="majorHAnsi" w:eastAsia="DejaVu Sans" w:hAnsiTheme="majorHAnsi" w:cs="DejaVu Sans"/>
                <w:color w:val="000000"/>
                <w:sz w:val="22"/>
                <w:szCs w:val="22"/>
                <w:lang w:val="en-GB"/>
              </w:rPr>
              <w:t>201</w:t>
            </w:r>
          </w:p>
        </w:tc>
        <w:tc>
          <w:tcPr>
            <w:tcW w:w="0" w:type="auto"/>
            <w:shd w:val="clear" w:color="auto" w:fill="FAFAFA"/>
            <w:tcMar>
              <w:top w:w="0" w:type="dxa"/>
              <w:left w:w="0" w:type="dxa"/>
              <w:bottom w:w="0" w:type="dxa"/>
              <w:right w:w="0" w:type="dxa"/>
            </w:tcMar>
            <w:vAlign w:val="center"/>
          </w:tcPr>
          <w:p w14:paraId="65A450DF" w14:textId="760C221D" w:rsidR="00B14839" w:rsidRPr="00835CFC" w:rsidRDefault="00835CFC"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193</w:t>
            </w:r>
          </w:p>
        </w:tc>
        <w:tc>
          <w:tcPr>
            <w:tcW w:w="0" w:type="auto"/>
            <w:shd w:val="clear" w:color="auto" w:fill="FAFAFA"/>
            <w:tcMar>
              <w:top w:w="0" w:type="dxa"/>
              <w:left w:w="0" w:type="dxa"/>
              <w:bottom w:w="0" w:type="dxa"/>
              <w:right w:w="0" w:type="dxa"/>
            </w:tcMar>
            <w:vAlign w:val="center"/>
          </w:tcPr>
          <w:p w14:paraId="5F2005C5" w14:textId="5E928BF4" w:rsidR="00835CFC" w:rsidRPr="00835CFC" w:rsidRDefault="00835CFC" w:rsidP="00835CFC">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9</w:t>
            </w:r>
            <w:r w:rsidRPr="00835CFC">
              <w:rPr>
                <w:rFonts w:asciiTheme="majorHAnsi" w:eastAsia="DejaVu Sans" w:hAnsiTheme="majorHAnsi" w:cs="DejaVu Sans"/>
                <w:color w:val="000000"/>
                <w:sz w:val="22"/>
                <w:szCs w:val="22"/>
              </w:rPr>
              <w:t>6.</w:t>
            </w:r>
            <w:r w:rsidRPr="00835CFC">
              <w:rPr>
                <w:rFonts w:asciiTheme="majorHAnsi" w:eastAsia="DejaVu Sans" w:hAnsiTheme="majorHAnsi" w:cs="DejaVu Sans"/>
                <w:color w:val="000000"/>
                <w:sz w:val="22"/>
                <w:szCs w:val="22"/>
              </w:rPr>
              <w:t>0</w:t>
            </w:r>
            <w:r w:rsidRPr="00835CFC">
              <w:rPr>
                <w:rFonts w:asciiTheme="majorHAnsi" w:eastAsia="DejaVu Sans" w:hAnsiTheme="majorHAnsi" w:cs="DejaVu Sans"/>
                <w:color w:val="000000"/>
                <w:sz w:val="22"/>
                <w:szCs w:val="22"/>
              </w:rPr>
              <w:t>%</w:t>
            </w:r>
          </w:p>
          <w:p w14:paraId="6BBF6B1A" w14:textId="083DF1C9" w:rsidR="00B14839" w:rsidRPr="00835CFC" w:rsidRDefault="00835CFC" w:rsidP="00835CFC">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w:t>
            </w:r>
            <w:r w:rsidRPr="00835CFC">
              <w:rPr>
                <w:rFonts w:asciiTheme="majorHAnsi" w:eastAsia="DejaVu Sans" w:hAnsiTheme="majorHAnsi" w:cs="DejaVu Sans"/>
                <w:color w:val="000000"/>
                <w:sz w:val="22"/>
                <w:szCs w:val="22"/>
              </w:rPr>
              <w:t>93.3</w:t>
            </w:r>
            <w:r w:rsidRPr="00835CFC">
              <w:rPr>
                <w:rFonts w:asciiTheme="majorHAnsi" w:eastAsia="DejaVu Sans" w:hAnsiTheme="majorHAnsi" w:cs="DejaVu Sans"/>
                <w:color w:val="000000"/>
                <w:sz w:val="22"/>
                <w:szCs w:val="22"/>
              </w:rPr>
              <w:t xml:space="preserve">%, </w:t>
            </w:r>
            <w:r w:rsidRPr="00835CFC">
              <w:rPr>
                <w:rFonts w:asciiTheme="majorHAnsi" w:eastAsia="DejaVu Sans" w:hAnsiTheme="majorHAnsi" w:cs="DejaVu Sans"/>
                <w:color w:val="000000"/>
                <w:sz w:val="22"/>
                <w:szCs w:val="22"/>
              </w:rPr>
              <w:t>98.7</w:t>
            </w:r>
            <w:r w:rsidRPr="00835CFC">
              <w:rPr>
                <w:rFonts w:asciiTheme="majorHAnsi" w:eastAsia="DejaVu Sans" w:hAnsiTheme="majorHAnsi" w:cs="DejaVu Sans"/>
                <w:color w:val="000000"/>
                <w:sz w:val="22"/>
                <w:szCs w:val="22"/>
              </w:rPr>
              <w:t>%)</w:t>
            </w:r>
          </w:p>
        </w:tc>
      </w:tr>
      <w:tr w:rsidR="007C3961" w:rsidRPr="00835CFC" w14:paraId="10310347" w14:textId="77777777" w:rsidTr="00835CFC">
        <w:trPr>
          <w:jc w:val="center"/>
        </w:trPr>
        <w:tc>
          <w:tcPr>
            <w:tcW w:w="0" w:type="auto"/>
            <w:shd w:val="clear" w:color="auto" w:fill="F2F2F2"/>
            <w:tcMar>
              <w:top w:w="0" w:type="dxa"/>
              <w:left w:w="0" w:type="dxa"/>
              <w:bottom w:w="0" w:type="dxa"/>
              <w:right w:w="0" w:type="dxa"/>
            </w:tcMar>
            <w:vAlign w:val="center"/>
          </w:tcPr>
          <w:p w14:paraId="37D75BD3" w14:textId="71DD55B3" w:rsidR="007C3961" w:rsidRPr="00835CFC" w:rsidRDefault="00A35411" w:rsidP="00A35411">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sz w:val="22"/>
                <w:szCs w:val="22"/>
              </w:rPr>
            </w:pPr>
            <w:r w:rsidRPr="00835CFC">
              <w:rPr>
                <w:rFonts w:asciiTheme="majorHAnsi" w:hAnsiTheme="majorHAnsi"/>
                <w:sz w:val="22"/>
                <w:szCs w:val="22"/>
              </w:rPr>
              <w:t>Percentage of women consuming foods from five or more</w:t>
            </w:r>
            <w:r w:rsidRPr="00835CFC">
              <w:rPr>
                <w:rFonts w:asciiTheme="majorHAnsi" w:hAnsiTheme="majorHAnsi"/>
                <w:sz w:val="22"/>
                <w:szCs w:val="22"/>
              </w:rPr>
              <w:t xml:space="preserve"> </w:t>
            </w:r>
            <w:r w:rsidRPr="00835CFC">
              <w:rPr>
                <w:rFonts w:asciiTheme="majorHAnsi" w:hAnsiTheme="majorHAnsi"/>
                <w:sz w:val="22"/>
                <w:szCs w:val="22"/>
              </w:rPr>
              <w:t>or the MDD-W ten food groups</w:t>
            </w:r>
          </w:p>
        </w:tc>
        <w:tc>
          <w:tcPr>
            <w:tcW w:w="0" w:type="auto"/>
            <w:shd w:val="clear" w:color="auto" w:fill="F2F2F2"/>
            <w:tcMar>
              <w:top w:w="0" w:type="dxa"/>
              <w:left w:w="0" w:type="dxa"/>
              <w:bottom w:w="0" w:type="dxa"/>
              <w:right w:w="0" w:type="dxa"/>
            </w:tcMar>
            <w:vAlign w:val="center"/>
          </w:tcPr>
          <w:p w14:paraId="5BEA8265" w14:textId="152E6299" w:rsidR="007C3961" w:rsidRPr="00835CFC" w:rsidRDefault="00A35411"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hAnsiTheme="majorHAnsi"/>
                <w:sz w:val="22"/>
                <w:szCs w:val="22"/>
              </w:rPr>
              <w:t>561</w:t>
            </w:r>
          </w:p>
        </w:tc>
        <w:tc>
          <w:tcPr>
            <w:tcW w:w="0" w:type="auto"/>
            <w:shd w:val="clear" w:color="auto" w:fill="F2F2F2"/>
            <w:tcMar>
              <w:top w:w="0" w:type="dxa"/>
              <w:left w:w="0" w:type="dxa"/>
              <w:bottom w:w="0" w:type="dxa"/>
              <w:right w:w="0" w:type="dxa"/>
            </w:tcMar>
            <w:vAlign w:val="center"/>
          </w:tcPr>
          <w:p w14:paraId="4E99473D" w14:textId="0EC6AC02" w:rsidR="007C3961" w:rsidRPr="00835CFC" w:rsidRDefault="00B14839" w:rsidP="007C396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hAnsiTheme="majorHAnsi"/>
                <w:sz w:val="22"/>
                <w:szCs w:val="22"/>
              </w:rPr>
              <w:t>157</w:t>
            </w:r>
          </w:p>
        </w:tc>
        <w:tc>
          <w:tcPr>
            <w:tcW w:w="0" w:type="auto"/>
            <w:shd w:val="clear" w:color="auto" w:fill="F2F2F2"/>
            <w:tcMar>
              <w:top w:w="0" w:type="dxa"/>
              <w:left w:w="0" w:type="dxa"/>
              <w:bottom w:w="0" w:type="dxa"/>
              <w:right w:w="0" w:type="dxa"/>
            </w:tcMar>
            <w:vAlign w:val="center"/>
          </w:tcPr>
          <w:p w14:paraId="292BAFA7" w14:textId="33282144" w:rsidR="00A35411" w:rsidRPr="00835CFC" w:rsidRDefault="00A35411" w:rsidP="00A3541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eastAsia="DejaVu Sans" w:hAnsiTheme="majorHAnsi" w:cs="DejaVu Sans"/>
                <w:color w:val="000000"/>
                <w:sz w:val="22"/>
                <w:szCs w:val="22"/>
              </w:rPr>
            </w:pPr>
            <w:r w:rsidRPr="00835CFC">
              <w:rPr>
                <w:rFonts w:asciiTheme="majorHAnsi" w:eastAsia="DejaVu Sans" w:hAnsiTheme="majorHAnsi" w:cs="DejaVu Sans"/>
                <w:color w:val="000000"/>
                <w:sz w:val="22"/>
                <w:szCs w:val="22"/>
              </w:rPr>
              <w:t>28.0</w:t>
            </w:r>
            <w:r w:rsidRPr="00835CFC">
              <w:rPr>
                <w:rFonts w:asciiTheme="majorHAnsi" w:eastAsia="DejaVu Sans" w:hAnsiTheme="majorHAnsi" w:cs="DejaVu Sans"/>
                <w:color w:val="000000"/>
                <w:sz w:val="22"/>
                <w:szCs w:val="22"/>
              </w:rPr>
              <w:t>%</w:t>
            </w:r>
          </w:p>
          <w:p w14:paraId="694ED43C" w14:textId="0BFE69C5" w:rsidR="007C3961" w:rsidRPr="00835CFC" w:rsidRDefault="00A35411" w:rsidP="00A35411">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sz w:val="22"/>
                <w:szCs w:val="22"/>
              </w:rPr>
            </w:pPr>
            <w:r w:rsidRPr="00835CFC">
              <w:rPr>
                <w:rFonts w:asciiTheme="majorHAnsi" w:eastAsia="DejaVu Sans" w:hAnsiTheme="majorHAnsi" w:cs="DejaVu Sans"/>
                <w:color w:val="000000"/>
                <w:sz w:val="22"/>
                <w:szCs w:val="22"/>
              </w:rPr>
              <w:t>(49.9%, 63.6%)</w:t>
            </w:r>
          </w:p>
        </w:tc>
      </w:tr>
    </w:tbl>
    <w:p w14:paraId="2001EABC" w14:textId="77777777" w:rsidR="00170FB7" w:rsidRDefault="00170FB7" w:rsidP="00170FB7">
      <w:bookmarkStart w:id="8" w:name="introduction"/>
      <w:bookmarkStart w:id="9" w:name="_Toc161945671"/>
      <w:bookmarkEnd w:id="4"/>
    </w:p>
    <w:p w14:paraId="67F3D75D" w14:textId="77777777" w:rsidR="00170FB7" w:rsidRDefault="00170FB7" w:rsidP="00170FB7"/>
    <w:p w14:paraId="430ACB70" w14:textId="4E5698D4" w:rsidR="00835CFC" w:rsidRPr="00170FB7" w:rsidRDefault="00835CFC" w:rsidP="00835CFC">
      <w:pPr>
        <w:jc w:val="both"/>
        <w:sectPr w:rsidR="00835CFC" w:rsidRPr="00170FB7" w:rsidSect="0088658D">
          <w:footerReference w:type="even" r:id="rId18"/>
          <w:footerReference w:type="default" r:id="rId19"/>
          <w:type w:val="continuous"/>
          <w:pgSz w:w="12240" w:h="15840"/>
          <w:pgMar w:top="1440" w:right="1440" w:bottom="1440" w:left="1440" w:header="708" w:footer="708" w:gutter="0"/>
          <w:cols w:space="708"/>
          <w:titlePg/>
          <w:docGrid w:linePitch="360"/>
        </w:sectPr>
      </w:pPr>
      <w:r w:rsidRPr="00835CFC">
        <w:t>In conclusion, the survey findings highlight the critical need for urgent and targeted interventions to address the persistently high levels of malnutrition in Isiolo County. With a Global Acute Malnutrition (GAM) prevalence of 13.7% and Severe Acute Malnutrition (SAM) prevalence of 2.3% among children aged 6-59 months, the situation demands immediate attention. Despite efforts to improve nutrition outcomes, the prevalence of acute malnutrition remains concerning, emphasizing the necessity for sustained and comprehensive interventions. It is imperative to prioritize recommendations aimed at enhancing food security, improving healthcare access, and promoting optimal infant and young child feeding practices. Additionally, continuous nutrition monitoring and periodic surveys are crucial to assess the effectiveness of interventions and guide future strategies.</w:t>
      </w:r>
    </w:p>
    <w:p w14:paraId="43576979" w14:textId="77777777" w:rsidR="00BC28CE" w:rsidRPr="00661D75" w:rsidRDefault="00000000">
      <w:pPr>
        <w:pStyle w:val="Heading1"/>
        <w:rPr>
          <w:i w:val="0"/>
          <w:iCs/>
        </w:rPr>
      </w:pPr>
      <w:r w:rsidRPr="00661D75">
        <w:rPr>
          <w:i w:val="0"/>
          <w:iCs/>
        </w:rPr>
        <w:lastRenderedPageBreak/>
        <w:t>Introduction</w:t>
      </w:r>
      <w:bookmarkEnd w:id="9"/>
    </w:p>
    <w:p w14:paraId="0B762705" w14:textId="77777777" w:rsidR="00BC28CE" w:rsidRDefault="00000000">
      <w:pPr>
        <w:pStyle w:val="Heading2"/>
      </w:pPr>
      <w:bookmarkStart w:id="10" w:name="organization"/>
      <w:bookmarkStart w:id="11" w:name="_Toc161945672"/>
      <w:r w:rsidRPr="00E5329F">
        <w:rPr>
          <w:i w:val="0"/>
          <w:iCs/>
        </w:rPr>
        <w:t>Organization</w:t>
      </w:r>
      <w:bookmarkEnd w:id="11"/>
    </w:p>
    <w:p w14:paraId="476678DE" w14:textId="77777777" w:rsidR="00B20A11" w:rsidRPr="00B20A11" w:rsidRDefault="00B20A11" w:rsidP="00B20A11">
      <w:pPr>
        <w:jc w:val="both"/>
      </w:pPr>
      <w:r w:rsidRPr="00B20A11">
        <w:t>The Isiolo County SMART survey, utilizing the innovative SMART+ infrastructure, was spearheaded by the Isiolo County Health Department (CHD), specifically through its nutrition department, in close collaboration with various stakeholders within the county. Facilitating the technical aspects of the survey was the SMART team at Action Against Hunger Canada, renowned for their expertise in piloting the SMART+ infrastructure. Technical support was provided by the Regional SMART+ Managers team to ensure the seamless implementation of the survey.</w:t>
      </w:r>
    </w:p>
    <w:p w14:paraId="02FD406B" w14:textId="77777777" w:rsidR="00BC28CE" w:rsidRDefault="00000000">
      <w:pPr>
        <w:pStyle w:val="Heading2"/>
      </w:pPr>
      <w:bookmarkStart w:id="12" w:name="background-information"/>
      <w:bookmarkStart w:id="13" w:name="_Toc161945673"/>
      <w:bookmarkEnd w:id="10"/>
      <w:r w:rsidRPr="009468A2">
        <w:rPr>
          <w:i w:val="0"/>
          <w:iCs/>
        </w:rPr>
        <w:t>Background</w:t>
      </w:r>
      <w:r>
        <w:t xml:space="preserve"> </w:t>
      </w:r>
      <w:r w:rsidRPr="009468A2">
        <w:rPr>
          <w:i w:val="0"/>
          <w:iCs/>
        </w:rPr>
        <w:t>Information</w:t>
      </w:r>
      <w:bookmarkEnd w:id="13"/>
    </w:p>
    <w:p w14:paraId="118D2AE8" w14:textId="66E73B5B" w:rsidR="00661D75" w:rsidRDefault="001F4077" w:rsidP="00B20A11">
      <w:pPr>
        <w:jc w:val="both"/>
      </w:pPr>
      <w:r w:rsidRPr="0017309C">
        <w:rPr>
          <w:noProof/>
          <w:sz w:val="20"/>
        </w:rPr>
        <w:drawing>
          <wp:anchor distT="0" distB="0" distL="114300" distR="114300" simplePos="0" relativeHeight="251668480" behindDoc="1" locked="0" layoutInCell="1" allowOverlap="1" wp14:anchorId="6BAAF4ED" wp14:editId="4FDCF0FE">
            <wp:simplePos x="0" y="0"/>
            <wp:positionH relativeFrom="column">
              <wp:posOffset>-9525</wp:posOffset>
            </wp:positionH>
            <wp:positionV relativeFrom="paragraph">
              <wp:posOffset>483870</wp:posOffset>
            </wp:positionV>
            <wp:extent cx="2781300" cy="3298190"/>
            <wp:effectExtent l="0" t="0" r="0" b="0"/>
            <wp:wrapTight wrapText="bothSides">
              <wp:wrapPolygon edited="0">
                <wp:start x="0" y="0"/>
                <wp:lineTo x="0" y="21459"/>
                <wp:lineTo x="21452" y="21459"/>
                <wp:lineTo x="21452" y="0"/>
                <wp:lineTo x="0" y="0"/>
              </wp:wrapPolygon>
            </wp:wrapTight>
            <wp:docPr id="754791421" name="Picture 754791421" descr="C:\Users\HSNP\AppData\Local\Packages\Microsoft.Windows.Photos_8wekyb3d8bbwe\TempState\ShareServiceTempFolder\Isiol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NP\AppData\Local\Packages\Microsoft.Windows.Photos_8wekyb3d8bbwe\TempState\ShareServiceTempFolder\Isiolo.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1300" cy="3298190"/>
                    </a:xfrm>
                    <a:prstGeom prst="rect">
                      <a:avLst/>
                    </a:prstGeom>
                    <a:noFill/>
                    <a:ln>
                      <a:noFill/>
                    </a:ln>
                  </pic:spPr>
                </pic:pic>
              </a:graphicData>
            </a:graphic>
            <wp14:sizeRelH relativeFrom="page">
              <wp14:pctWidth>0</wp14:pctWidth>
            </wp14:sizeRelH>
            <wp14:sizeRelV relativeFrom="page">
              <wp14:pctHeight>0</wp14:pctHeight>
            </wp14:sizeRelV>
          </wp:anchor>
        </w:drawing>
      </w:r>
      <w:r w:rsidR="006C5921">
        <w:t>Isiolo County is in the Upper Eastern Region of Kenya. It borders seven Counties and covers an</w:t>
      </w:r>
      <w:r w:rsidR="006C5921">
        <w:t xml:space="preserve"> </w:t>
      </w:r>
      <w:r w:rsidR="006C5921">
        <w:t>area of 25,350.6 KM</w:t>
      </w:r>
      <w:r w:rsidR="006C5921">
        <w:t>²</w:t>
      </w:r>
      <w:r w:rsidR="006C5921">
        <w:t>. The Estimated population is 283,139</w:t>
      </w:r>
      <w:r w:rsidR="00661D75">
        <w:rPr>
          <w:rStyle w:val="FootnoteReference"/>
        </w:rPr>
        <w:footnoteReference w:id="1"/>
      </w:r>
      <w:r w:rsidR="006C5921">
        <w:t xml:space="preserve"> with a population density of 11 people</w:t>
      </w:r>
      <w:r w:rsidR="006C5921">
        <w:t xml:space="preserve"> </w:t>
      </w:r>
      <w:r w:rsidR="006C5921">
        <w:t>per KM</w:t>
      </w:r>
      <w:r w:rsidR="006C5921">
        <w:t xml:space="preserve">² </w:t>
      </w:r>
      <w:r w:rsidR="006C5921">
        <w:t xml:space="preserve">and an annual growth rate of 1.45%. </w:t>
      </w:r>
      <w:r w:rsidRPr="001F4077">
        <w:t xml:space="preserve">The county has four livelihood zones </w:t>
      </w:r>
      <w:proofErr w:type="gramStart"/>
      <w:r w:rsidRPr="001F4077">
        <w:t>namely;</w:t>
      </w:r>
      <w:proofErr w:type="gramEnd"/>
      <w:r w:rsidRPr="001F4077">
        <w:t xml:space="preserve"> Pastoral, Casual and Waged Labour, Agro-Pastoral and Formal/Unskilled employment with human population per livelihood zone being 50.1, 24.8, 15.7 and 9.3 percent respectively</w:t>
      </w:r>
      <w:r w:rsidR="006C5921">
        <w:t xml:space="preserve">. </w:t>
      </w:r>
      <w:r w:rsidR="00000000">
        <w:t xml:space="preserve">The county consists of three (3) sub-counties namely Isiolo, Garbatulla and Merti. </w:t>
      </w:r>
    </w:p>
    <w:p w14:paraId="46B85FFE" w14:textId="77777777" w:rsidR="00BC28CE" w:rsidRDefault="00000000">
      <w:pPr>
        <w:pStyle w:val="Heading3"/>
      </w:pPr>
      <w:bookmarkStart w:id="14" w:name="survey-area"/>
      <w:r>
        <w:t>Survey Area</w:t>
      </w:r>
    </w:p>
    <w:p w14:paraId="339DCE82" w14:textId="25A727AD" w:rsidR="009468A2" w:rsidRDefault="009468A2" w:rsidP="009468A2">
      <w:pPr>
        <w:jc w:val="both"/>
      </w:pPr>
      <w:r>
        <w:t>Most of the land in the Isiolo County is flat low lying plain. The plains rise gradually from an</w:t>
      </w:r>
      <w:r>
        <w:t xml:space="preserve"> </w:t>
      </w:r>
      <w:r>
        <w:t xml:space="preserve">altitude of about 200 M above sea level at Lorian swamp, 300M above sea level at Merti Plateau; 1100 M above the sea level at Isiolo town with the highest point occurring at Oldonyiro-Labarishereki at 2019M above sea level. </w:t>
      </w:r>
    </w:p>
    <w:p w14:paraId="45687B22" w14:textId="0844850E" w:rsidR="009468A2" w:rsidRDefault="001F4077" w:rsidP="009468A2">
      <w:pPr>
        <w:jc w:val="both"/>
      </w:pPr>
      <w:r w:rsidRPr="001F4077">
        <w:t xml:space="preserve">Isiolo County, predominantly arid and semi-arid, features vast low-lying plains covering 80% of its land, primarily utilized for grazing, while </w:t>
      </w:r>
      <w:r w:rsidRPr="001F4077">
        <w:t>agro pastoralism</w:t>
      </w:r>
      <w:r w:rsidRPr="001F4077">
        <w:t xml:space="preserve"> is practiced in limited areas. The county is categorized into three agro-ecological zones: semi-arid (5%), arid (30%), and very arid (65%). Rainfall is seasonal, with short rains from October to December, peaking in November, and long rains from March to May, peaking in April. Rainfall distribution varies based on topography, with higher areas near Mount Kenya and Nyambene Hills receiving 500-670mm annually, contrasting with less than 300mm in the drier eastern and northern parts. High temperatures, averaging 29 degrees Celsius annually, and </w:t>
      </w:r>
      <w:r w:rsidRPr="001F4077">
        <w:lastRenderedPageBreak/>
        <w:t>abundant sunshine, exceeding nine hours daily, highlight the county's solar energy potential. Monsoon winds, peaking in July to August, offer significant opportunities for wind energy.</w:t>
      </w:r>
    </w:p>
    <w:p w14:paraId="69829984" w14:textId="77777777" w:rsidR="00BC28CE" w:rsidRDefault="00000000">
      <w:pPr>
        <w:pStyle w:val="Heading3"/>
      </w:pPr>
      <w:bookmarkStart w:id="15" w:name="survey-population"/>
      <w:bookmarkEnd w:id="14"/>
      <w:r>
        <w:t>Survey Population</w:t>
      </w:r>
    </w:p>
    <w:p w14:paraId="6B25AA49" w14:textId="497B23BB" w:rsidR="00BC28CE" w:rsidRDefault="009F38A5" w:rsidP="009F38A5">
      <w:pPr>
        <w:jc w:val="both"/>
      </w:pPr>
      <w:r w:rsidRPr="009F38A5">
        <w:t xml:space="preserve">The population of Isiolo County predominantly comprises Oromo-speaking Borana and Sakuye communities, alongside Turkana, Samburu, Meru, Somali, and various immigrant groups from other regions. Despite its expansive size, Isiolo County maintains a relatively low population density compared to the national average, with Isiolo Sub-County standing out as the most populous area. The target population for this survey was the general population residing within the </w:t>
      </w:r>
      <w:r w:rsidRPr="009F38A5">
        <w:t>county.</w:t>
      </w:r>
    </w:p>
    <w:p w14:paraId="1F02A264" w14:textId="77777777" w:rsidR="00BC28CE" w:rsidRDefault="00000000">
      <w:pPr>
        <w:pStyle w:val="Heading3"/>
      </w:pPr>
      <w:bookmarkStart w:id="16" w:name="humanitarian-assistance"/>
      <w:bookmarkEnd w:id="15"/>
      <w:r>
        <w:t>Humanitarian Assistance</w:t>
      </w:r>
    </w:p>
    <w:p w14:paraId="5AF8ED25" w14:textId="0E2CA2CB" w:rsidR="000C7C7D" w:rsidRDefault="000C7C7D" w:rsidP="000C7C7D">
      <w:pPr>
        <w:jc w:val="both"/>
      </w:pPr>
      <w:r w:rsidRPr="000C7C7D">
        <w:t xml:space="preserve">Humanitarian assistance in Isiolo County involved various sectors, benefiting a significant number of individuals. Social protection measures, including cash transfers and emergency responses, aided over 13,000 vulnerable households. Water sector projects, such as constructing and rehabilitating water systems, served thousands of individuals, with approximately 8,000 people gaining access to improved water sources. Livestock sector support impacted over 2,000 households through disease surveillance and capacity-building programs. Health and nutrition interventions, catering to acute malnutrition and medical outreaches, reached over 7,500 </w:t>
      </w:r>
      <w:proofErr w:type="gramStart"/>
      <w:r w:rsidRPr="000C7C7D">
        <w:t>households</w:t>
      </w:r>
      <w:proofErr w:type="gramEnd"/>
      <w:r w:rsidRPr="000C7C7D">
        <w:t xml:space="preserve"> and covered approximately 27 villages. These interventions were implemented by various agencies such as NDMA, WFP, ACF, CRS-Kenya Rapid+, MID-P, Vet Department, MOH, and other implementing partners.</w:t>
      </w:r>
    </w:p>
    <w:p w14:paraId="405CB249" w14:textId="1A229A0D" w:rsidR="00F16DDB" w:rsidRDefault="00F16DDB" w:rsidP="000C7C7D">
      <w:pPr>
        <w:jc w:val="both"/>
      </w:pPr>
      <w:r w:rsidRPr="00F16DDB">
        <w:t>Severe flooding in November 2023, driven by heavy rains, disrupted transportation routes, severely impacting market access in Isiolo County.</w:t>
      </w:r>
    </w:p>
    <w:p w14:paraId="51E23E2E" w14:textId="77777777" w:rsidR="000C7C7D" w:rsidRDefault="000C7C7D"/>
    <w:p w14:paraId="23246DA0" w14:textId="77777777" w:rsidR="00BC28CE" w:rsidRDefault="00000000">
      <w:pPr>
        <w:pStyle w:val="Heading3"/>
      </w:pPr>
      <w:bookmarkStart w:id="17" w:name="health-and-safety-situation-update"/>
      <w:bookmarkEnd w:id="16"/>
      <w:r>
        <w:t>Health and Safety Situation Update</w:t>
      </w:r>
    </w:p>
    <w:p w14:paraId="1243D593" w14:textId="7E132446" w:rsidR="00F16DDB" w:rsidRDefault="00AF4975" w:rsidP="00AF4975">
      <w:pPr>
        <w:jc w:val="both"/>
      </w:pPr>
      <w:r w:rsidRPr="00AF4975">
        <w:t>Overall, there were no major disease outbreaks reported, with cases of diarrhea being the most prevalent, largely attributed to poor hygiene practices resulting from limited access to clean water for household use. Among the general population, acute upper respiratory tract infections (URTI), malaria, skin diseases, and urinary tract infections were the most common ailments. However, among children under the age of five, diarrhea, upper respiratory tract infections, pneumonia, intestinal worms, and skin diseases were prevalent</w:t>
      </w:r>
      <w:r>
        <w:t>.</w:t>
      </w:r>
    </w:p>
    <w:p w14:paraId="49FF0C38" w14:textId="77777777" w:rsidR="00BC28CE" w:rsidRPr="00AA6A84" w:rsidRDefault="00000000">
      <w:pPr>
        <w:pStyle w:val="Heading2"/>
        <w:rPr>
          <w:i w:val="0"/>
          <w:iCs/>
          <w:u w:val="none"/>
        </w:rPr>
      </w:pPr>
      <w:bookmarkStart w:id="18" w:name="survey-type"/>
      <w:bookmarkStart w:id="19" w:name="_Toc161945674"/>
      <w:bookmarkEnd w:id="12"/>
      <w:bookmarkEnd w:id="17"/>
      <w:r w:rsidRPr="00AA6A84">
        <w:rPr>
          <w:i w:val="0"/>
          <w:iCs/>
          <w:u w:val="none"/>
        </w:rPr>
        <w:t>Survey Type</w:t>
      </w:r>
      <w:bookmarkEnd w:id="19"/>
    </w:p>
    <w:p w14:paraId="2236D0D5" w14:textId="7FA11173" w:rsidR="00AF4975" w:rsidRDefault="00000000" w:rsidP="00AF4975">
      <w:pPr>
        <w:jc w:val="both"/>
      </w:pPr>
      <w:r>
        <w:t xml:space="preserve">The survey type used was a </w:t>
      </w:r>
      <w:r w:rsidR="00AF4975" w:rsidRPr="00AF4975">
        <w:t xml:space="preserve">Full SMART survey. Anthropometry served as the core indicator, with all three anthropometric indices evaluated. Additionally, the survey encompassed various supplementary indicators, including Infant and Young Child Feeding (IYCF), Food Security, Water, Sanitation, and Health (WASH), Maternal Nutrition Status, Child morbidity and treatment seeking, Vitamin A supplementation, Deworming, and </w:t>
      </w:r>
      <w:r w:rsidR="00AF4975">
        <w:t>immunization</w:t>
      </w:r>
      <w:r w:rsidR="00AF4975" w:rsidRPr="00AF4975">
        <w:t>. This holistic assessment allowed for a thorough understanding of the health</w:t>
      </w:r>
      <w:r w:rsidR="00AF4975">
        <w:t xml:space="preserve"> and</w:t>
      </w:r>
      <w:r w:rsidR="00AF4975" w:rsidRPr="00AF4975">
        <w:t xml:space="preserve"> nutrition</w:t>
      </w:r>
      <w:r w:rsidR="00AF4975">
        <w:t xml:space="preserve"> status </w:t>
      </w:r>
      <w:r w:rsidR="00AF4975" w:rsidRPr="00AF4975">
        <w:t>of the surveyed population, enabling targeted interventions and program planning to address identified needs effectively.</w:t>
      </w:r>
    </w:p>
    <w:p w14:paraId="2D54D92E" w14:textId="77777777" w:rsidR="00BC28CE" w:rsidRPr="00AA6A84" w:rsidRDefault="00000000">
      <w:pPr>
        <w:pStyle w:val="Heading2"/>
        <w:rPr>
          <w:i w:val="0"/>
          <w:iCs/>
          <w:u w:val="none"/>
        </w:rPr>
      </w:pPr>
      <w:bookmarkStart w:id="20" w:name="survey-timing"/>
      <w:bookmarkStart w:id="21" w:name="_Toc161945675"/>
      <w:bookmarkEnd w:id="18"/>
      <w:r w:rsidRPr="00AA6A84">
        <w:rPr>
          <w:i w:val="0"/>
          <w:iCs/>
          <w:u w:val="none"/>
        </w:rPr>
        <w:lastRenderedPageBreak/>
        <w:t>Survey Timing</w:t>
      </w:r>
      <w:bookmarkEnd w:id="21"/>
    </w:p>
    <w:p w14:paraId="60BCD58B" w14:textId="689DB310" w:rsidR="00F37545" w:rsidRDefault="00F37545" w:rsidP="00F37545">
      <w:pPr>
        <w:jc w:val="both"/>
      </w:pPr>
      <w:r w:rsidRPr="00F37545">
        <w:t>The SMART survey took place from late January to early February 2024, specifically from January 27th to February 1</w:t>
      </w:r>
      <w:r w:rsidRPr="00F37545">
        <w:rPr>
          <w:vertAlign w:val="superscript"/>
        </w:rPr>
        <w:t>st</w:t>
      </w:r>
      <w:r>
        <w:t xml:space="preserve"> (Six Days)</w:t>
      </w:r>
      <w:r w:rsidRPr="00F37545">
        <w:t xml:space="preserve">. Notably, this </w:t>
      </w:r>
      <w:r>
        <w:t>was</w:t>
      </w:r>
      <w:r w:rsidRPr="00F37545">
        <w:t xml:space="preserve"> the short dr</w:t>
      </w:r>
      <w:r>
        <w:t>y/lean</w:t>
      </w:r>
      <w:r w:rsidRPr="00F37545">
        <w:t xml:space="preserve"> season according to the Isiolo County seasonal calendar</w:t>
      </w:r>
      <w:r>
        <w:t xml:space="preserve"> as shown in the table below</w:t>
      </w:r>
      <w:r w:rsidRPr="00F37545">
        <w:t>.</w:t>
      </w:r>
    </w:p>
    <w:tbl>
      <w:tblPr>
        <w:tblW w:w="5228" w:type="pct"/>
        <w:tblInd w:w="-289" w:type="dxa"/>
        <w:tblLook w:val="04A0" w:firstRow="1" w:lastRow="0" w:firstColumn="1" w:lastColumn="0" w:noHBand="0" w:noVBand="1"/>
      </w:tblPr>
      <w:tblGrid>
        <w:gridCol w:w="705"/>
        <w:gridCol w:w="703"/>
        <w:gridCol w:w="698"/>
        <w:gridCol w:w="596"/>
        <w:gridCol w:w="594"/>
        <w:gridCol w:w="643"/>
        <w:gridCol w:w="592"/>
        <w:gridCol w:w="614"/>
        <w:gridCol w:w="612"/>
        <w:gridCol w:w="633"/>
        <w:gridCol w:w="614"/>
        <w:gridCol w:w="782"/>
        <w:gridCol w:w="784"/>
        <w:gridCol w:w="1206"/>
      </w:tblGrid>
      <w:tr w:rsidR="007552D3" w:rsidRPr="007552D3" w14:paraId="42F60461" w14:textId="77777777" w:rsidTr="000734EE">
        <w:trPr>
          <w:trHeight w:val="2205"/>
        </w:trPr>
        <w:tc>
          <w:tcPr>
            <w:tcW w:w="1076" w:type="pct"/>
            <w:gridSpan w:val="3"/>
            <w:tcBorders>
              <w:top w:val="single" w:sz="4" w:space="0" w:color="auto"/>
              <w:left w:val="single" w:sz="4" w:space="0" w:color="auto"/>
              <w:bottom w:val="nil"/>
              <w:right w:val="single" w:sz="4" w:space="0" w:color="000000"/>
            </w:tcBorders>
            <w:shd w:val="clear" w:color="auto" w:fill="auto"/>
            <w:hideMark/>
          </w:tcPr>
          <w:p w14:paraId="62A901B2"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 xml:space="preserve">Short rains </w:t>
            </w:r>
            <w:proofErr w:type="gramStart"/>
            <w:r w:rsidRPr="007552D3">
              <w:rPr>
                <w:sz w:val="22"/>
                <w:szCs w:val="22"/>
                <w:lang w:val="en-US" w:eastAsia="en-KE"/>
              </w:rPr>
              <w:t>start</w:t>
            </w:r>
            <w:proofErr w:type="gramEnd"/>
          </w:p>
          <w:p w14:paraId="1B4C4B6B"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Short dry spell</w:t>
            </w:r>
          </w:p>
          <w:p w14:paraId="1F30E691" w14:textId="58F61040"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Reduced milk yields</w:t>
            </w:r>
          </w:p>
          <w:p w14:paraId="3CAC0240"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Migration to dry season area</w:t>
            </w:r>
          </w:p>
          <w:p w14:paraId="75B0B8E2" w14:textId="2DDF14E9"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Land preparation</w:t>
            </w:r>
          </w:p>
        </w:tc>
        <w:tc>
          <w:tcPr>
            <w:tcW w:w="1239" w:type="pct"/>
            <w:gridSpan w:val="4"/>
            <w:tcBorders>
              <w:top w:val="single" w:sz="4" w:space="0" w:color="auto"/>
              <w:left w:val="nil"/>
              <w:bottom w:val="nil"/>
              <w:right w:val="single" w:sz="4" w:space="0" w:color="000000"/>
            </w:tcBorders>
            <w:shd w:val="clear" w:color="auto" w:fill="auto"/>
            <w:hideMark/>
          </w:tcPr>
          <w:p w14:paraId="0FCF37D9"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Migration to wet</w:t>
            </w:r>
            <w:r w:rsidRPr="007552D3">
              <w:rPr>
                <w:sz w:val="22"/>
                <w:szCs w:val="22"/>
                <w:lang w:val="en-US" w:eastAsia="en-KE"/>
              </w:rPr>
              <w:t xml:space="preserve"> grazing areas</w:t>
            </w:r>
          </w:p>
          <w:p w14:paraId="3B89A56B"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Long rains</w:t>
            </w:r>
          </w:p>
          <w:p w14:paraId="0A01764C"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High Calving Rate</w:t>
            </w:r>
          </w:p>
          <w:p w14:paraId="33CE9DEF"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Milk Yields Increase</w:t>
            </w:r>
          </w:p>
          <w:p w14:paraId="17B1B854" w14:textId="188DB670"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 xml:space="preserve">Reduced </w:t>
            </w:r>
            <w:r w:rsidRPr="007552D3">
              <w:rPr>
                <w:sz w:val="22"/>
                <w:szCs w:val="22"/>
                <w:lang w:val="en-US" w:eastAsia="en-KE"/>
              </w:rPr>
              <w:t>p</w:t>
            </w:r>
            <w:r w:rsidRPr="007552D3">
              <w:rPr>
                <w:sz w:val="22"/>
                <w:szCs w:val="22"/>
                <w:lang w:val="en-US" w:eastAsia="en-KE"/>
              </w:rPr>
              <w:t>asture/water stress (Normal Scenario)</w:t>
            </w:r>
          </w:p>
        </w:tc>
        <w:tc>
          <w:tcPr>
            <w:tcW w:w="1265" w:type="pct"/>
            <w:gridSpan w:val="4"/>
            <w:tcBorders>
              <w:top w:val="single" w:sz="4" w:space="0" w:color="auto"/>
              <w:left w:val="nil"/>
              <w:bottom w:val="nil"/>
              <w:right w:val="single" w:sz="4" w:space="0" w:color="000000"/>
            </w:tcBorders>
            <w:shd w:val="clear" w:color="auto" w:fill="auto"/>
            <w:hideMark/>
          </w:tcPr>
          <w:p w14:paraId="3220189D"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 xml:space="preserve">Long rains </w:t>
            </w:r>
            <w:r w:rsidRPr="007552D3">
              <w:rPr>
                <w:sz w:val="22"/>
                <w:szCs w:val="22"/>
                <w:lang w:val="en-US" w:eastAsia="en-KE"/>
              </w:rPr>
              <w:t>harvest</w:t>
            </w:r>
          </w:p>
          <w:p w14:paraId="09120759"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A long dry spell</w:t>
            </w:r>
          </w:p>
          <w:p w14:paraId="306AF656"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Increased distances to water and pasture</w:t>
            </w:r>
          </w:p>
          <w:p w14:paraId="3EA99BEA"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Reduced water levels</w:t>
            </w:r>
            <w:r w:rsidRPr="007552D3">
              <w:rPr>
                <w:sz w:val="22"/>
                <w:szCs w:val="22"/>
                <w:lang w:val="en-US" w:eastAsia="en-KE"/>
              </w:rPr>
              <w:br/>
              <w:t>Kidding (Sept)</w:t>
            </w:r>
          </w:p>
          <w:p w14:paraId="17F93CAB" w14:textId="0BCF2AF1"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Community/HH coping measures taken</w:t>
            </w:r>
          </w:p>
        </w:tc>
        <w:tc>
          <w:tcPr>
            <w:tcW w:w="1420" w:type="pct"/>
            <w:gridSpan w:val="3"/>
            <w:tcBorders>
              <w:top w:val="single" w:sz="4" w:space="0" w:color="auto"/>
              <w:left w:val="nil"/>
              <w:bottom w:val="nil"/>
              <w:right w:val="single" w:sz="4" w:space="0" w:color="000000"/>
            </w:tcBorders>
            <w:shd w:val="clear" w:color="auto" w:fill="auto"/>
            <w:hideMark/>
          </w:tcPr>
          <w:p w14:paraId="4A8A14C6"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Short rains season</w:t>
            </w:r>
            <w:r w:rsidRPr="007552D3">
              <w:rPr>
                <w:sz w:val="22"/>
                <w:szCs w:val="22"/>
                <w:lang w:val="en-US" w:eastAsia="en-KE"/>
              </w:rPr>
              <w:br/>
            </w:r>
            <w:r w:rsidRPr="007552D3">
              <w:rPr>
                <w:sz w:val="22"/>
                <w:szCs w:val="22"/>
                <w:lang w:val="en-US" w:eastAsia="en-KE"/>
              </w:rPr>
              <w:t>Planting in Agro</w:t>
            </w:r>
            <w:r w:rsidRPr="007552D3">
              <w:rPr>
                <w:sz w:val="22"/>
                <w:szCs w:val="22"/>
                <w:lang w:val="en-US" w:eastAsia="en-KE"/>
              </w:rPr>
              <w:t>-</w:t>
            </w:r>
            <w:proofErr w:type="gramStart"/>
            <w:r w:rsidRPr="007552D3">
              <w:rPr>
                <w:sz w:val="22"/>
                <w:szCs w:val="22"/>
                <w:lang w:val="en-US" w:eastAsia="en-KE"/>
              </w:rPr>
              <w:t>pastoral</w:t>
            </w:r>
            <w:proofErr w:type="gramEnd"/>
          </w:p>
          <w:p w14:paraId="56EE7085"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Migration from dry season area</w:t>
            </w:r>
          </w:p>
          <w:p w14:paraId="5F212C04" w14:textId="7777777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Increased milk yield</w:t>
            </w:r>
          </w:p>
          <w:p w14:paraId="4F9930E8" w14:textId="75BC9807" w:rsidR="007552D3" w:rsidRPr="007552D3" w:rsidRDefault="007552D3" w:rsidP="007552D3">
            <w:pPr>
              <w:pStyle w:val="ListParagraph"/>
              <w:numPr>
                <w:ilvl w:val="0"/>
                <w:numId w:val="38"/>
              </w:numPr>
              <w:ind w:left="180" w:hanging="114"/>
              <w:rPr>
                <w:sz w:val="22"/>
                <w:szCs w:val="22"/>
                <w:lang w:val="en-KE" w:eastAsia="en-KE"/>
              </w:rPr>
            </w:pPr>
            <w:r w:rsidRPr="007552D3">
              <w:rPr>
                <w:sz w:val="22"/>
                <w:szCs w:val="22"/>
                <w:lang w:val="en-US" w:eastAsia="en-KE"/>
              </w:rPr>
              <w:t>Reduced pasture/water stress (Normal scenario)</w:t>
            </w:r>
          </w:p>
        </w:tc>
      </w:tr>
      <w:tr w:rsidR="007552D3" w:rsidRPr="007552D3" w14:paraId="2FF03BC2" w14:textId="77777777" w:rsidTr="000734EE">
        <w:trPr>
          <w:trHeight w:val="396"/>
        </w:trPr>
        <w:tc>
          <w:tcPr>
            <w:tcW w:w="1076" w:type="pct"/>
            <w:gridSpan w:val="3"/>
            <w:tcBorders>
              <w:top w:val="single" w:sz="4" w:space="0" w:color="auto"/>
              <w:left w:val="single" w:sz="4" w:space="0" w:color="auto"/>
              <w:bottom w:val="single" w:sz="4" w:space="0" w:color="auto"/>
              <w:right w:val="single" w:sz="4" w:space="0" w:color="auto"/>
            </w:tcBorders>
            <w:shd w:val="clear" w:color="000000" w:fill="FFCC99"/>
            <w:vAlign w:val="center"/>
            <w:hideMark/>
          </w:tcPr>
          <w:p w14:paraId="7312DDBE" w14:textId="5A20A21D" w:rsidR="007552D3" w:rsidRPr="007552D3" w:rsidRDefault="000734EE" w:rsidP="007552D3">
            <w:pPr>
              <w:rPr>
                <w:rFonts w:ascii="Calibri" w:hAnsi="Calibri" w:cs="Calibri"/>
                <w:sz w:val="22"/>
                <w:szCs w:val="22"/>
                <w:lang w:val="en-KE" w:eastAsia="en-KE"/>
              </w:rPr>
            </w:pPr>
            <w:r w:rsidRPr="0076113B">
              <w:rPr>
                <w:rFonts w:ascii="Times New Roman" w:hAnsi="Times New Roman" w:cs="Times New Roman"/>
                <w:noProof/>
                <w:lang w:val="en-GB"/>
              </w:rPr>
              <mc:AlternateContent>
                <mc:Choice Requires="wps">
                  <w:drawing>
                    <wp:anchor distT="0" distB="0" distL="114300" distR="114300" simplePos="0" relativeHeight="251670528" behindDoc="0" locked="0" layoutInCell="1" allowOverlap="1" wp14:anchorId="678BF386" wp14:editId="25E47F40">
                      <wp:simplePos x="0" y="0"/>
                      <wp:positionH relativeFrom="column">
                        <wp:posOffset>292735</wp:posOffset>
                      </wp:positionH>
                      <wp:positionV relativeFrom="paragraph">
                        <wp:posOffset>167640</wp:posOffset>
                      </wp:positionV>
                      <wp:extent cx="133350" cy="523875"/>
                      <wp:effectExtent l="0" t="0" r="19050" b="28575"/>
                      <wp:wrapNone/>
                      <wp:docPr id="1336052203" name="Oval 1336052203"/>
                      <wp:cNvGraphicFramePr/>
                      <a:graphic xmlns:a="http://schemas.openxmlformats.org/drawingml/2006/main">
                        <a:graphicData uri="http://schemas.microsoft.com/office/word/2010/wordprocessingShape">
                          <wps:wsp>
                            <wps:cNvSpPr/>
                            <wps:spPr>
                              <a:xfrm>
                                <a:off x="0" y="0"/>
                                <a:ext cx="133350" cy="5238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1DAED5" id="Oval 1336052203" o:spid="_x0000_s1026" style="position:absolute;margin-left:23.05pt;margin-top:13.2pt;width:1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" filled="f" strokecolor="red" strokeweight="1.5pt">
                      <v:stroke joinstyle="miter"/>
                    </v:oval>
                  </w:pict>
                </mc:Fallback>
              </mc:AlternateContent>
            </w:r>
            <w:r w:rsidR="007552D3" w:rsidRPr="007552D3">
              <w:rPr>
                <w:rFonts w:ascii="Calibri" w:hAnsi="Calibri" w:cs="Calibri"/>
                <w:sz w:val="22"/>
                <w:szCs w:val="22"/>
                <w:lang w:val="en-US" w:eastAsia="en-KE"/>
              </w:rPr>
              <w:t> </w:t>
            </w:r>
          </w:p>
        </w:tc>
        <w:tc>
          <w:tcPr>
            <w:tcW w:w="1239" w:type="pct"/>
            <w:gridSpan w:val="4"/>
            <w:tcBorders>
              <w:top w:val="single" w:sz="4" w:space="0" w:color="auto"/>
              <w:left w:val="nil"/>
              <w:bottom w:val="single" w:sz="4" w:space="0" w:color="auto"/>
              <w:right w:val="single" w:sz="4" w:space="0" w:color="auto"/>
            </w:tcBorders>
            <w:shd w:val="clear" w:color="000000" w:fill="008000"/>
            <w:vAlign w:val="center"/>
            <w:hideMark/>
          </w:tcPr>
          <w:p w14:paraId="35D1C06E" w14:textId="6AE63CAC" w:rsidR="007552D3" w:rsidRPr="007552D3" w:rsidRDefault="007552D3" w:rsidP="007552D3">
            <w:pPr>
              <w:rPr>
                <w:rFonts w:ascii="Calibri" w:hAnsi="Calibri" w:cs="Calibri"/>
                <w:sz w:val="22"/>
                <w:szCs w:val="22"/>
                <w:lang w:val="en-KE" w:eastAsia="en-KE"/>
              </w:rPr>
            </w:pPr>
            <w:r w:rsidRPr="007552D3">
              <w:rPr>
                <w:rFonts w:ascii="Calibri" w:hAnsi="Calibri" w:cs="Calibri"/>
                <w:sz w:val="22"/>
                <w:szCs w:val="22"/>
                <w:lang w:val="en-US" w:eastAsia="en-KE"/>
              </w:rPr>
              <w:t> </w:t>
            </w:r>
          </w:p>
        </w:tc>
        <w:tc>
          <w:tcPr>
            <w:tcW w:w="1265" w:type="pct"/>
            <w:gridSpan w:val="4"/>
            <w:tcBorders>
              <w:top w:val="single" w:sz="4" w:space="0" w:color="auto"/>
              <w:left w:val="nil"/>
              <w:bottom w:val="single" w:sz="4" w:space="0" w:color="auto"/>
              <w:right w:val="single" w:sz="4" w:space="0" w:color="auto"/>
            </w:tcBorders>
            <w:shd w:val="clear" w:color="000000" w:fill="FF9900"/>
            <w:vAlign w:val="center"/>
            <w:hideMark/>
          </w:tcPr>
          <w:p w14:paraId="4ACFFFEC" w14:textId="77777777" w:rsidR="007552D3" w:rsidRPr="007552D3" w:rsidRDefault="007552D3" w:rsidP="007552D3">
            <w:pPr>
              <w:rPr>
                <w:rFonts w:ascii="Calibri" w:hAnsi="Calibri" w:cs="Calibri"/>
                <w:sz w:val="22"/>
                <w:szCs w:val="22"/>
                <w:lang w:val="en-KE" w:eastAsia="en-KE"/>
              </w:rPr>
            </w:pPr>
            <w:r w:rsidRPr="007552D3">
              <w:rPr>
                <w:rFonts w:ascii="Calibri" w:hAnsi="Calibri" w:cs="Calibri"/>
                <w:sz w:val="22"/>
                <w:szCs w:val="22"/>
                <w:lang w:val="en-US" w:eastAsia="en-KE"/>
              </w:rPr>
              <w:t> </w:t>
            </w:r>
          </w:p>
        </w:tc>
        <w:tc>
          <w:tcPr>
            <w:tcW w:w="1420" w:type="pct"/>
            <w:gridSpan w:val="3"/>
            <w:tcBorders>
              <w:top w:val="single" w:sz="4" w:space="0" w:color="auto"/>
              <w:left w:val="nil"/>
              <w:bottom w:val="single" w:sz="4" w:space="0" w:color="auto"/>
              <w:right w:val="single" w:sz="4" w:space="0" w:color="auto"/>
            </w:tcBorders>
            <w:shd w:val="clear" w:color="000000" w:fill="009900"/>
            <w:vAlign w:val="center"/>
            <w:hideMark/>
          </w:tcPr>
          <w:p w14:paraId="2899D0E9" w14:textId="77777777" w:rsidR="007552D3" w:rsidRPr="007552D3" w:rsidRDefault="007552D3" w:rsidP="007552D3">
            <w:pPr>
              <w:rPr>
                <w:rFonts w:ascii="Calibri" w:hAnsi="Calibri" w:cs="Calibri"/>
                <w:sz w:val="22"/>
                <w:szCs w:val="22"/>
                <w:lang w:val="en-KE" w:eastAsia="en-KE"/>
              </w:rPr>
            </w:pPr>
            <w:r w:rsidRPr="007552D3">
              <w:rPr>
                <w:rFonts w:ascii="Calibri" w:hAnsi="Calibri" w:cs="Calibri"/>
                <w:sz w:val="22"/>
                <w:szCs w:val="22"/>
                <w:lang w:val="en-US" w:eastAsia="en-KE"/>
              </w:rPr>
              <w:t> </w:t>
            </w:r>
          </w:p>
        </w:tc>
      </w:tr>
      <w:tr w:rsidR="007552D3" w:rsidRPr="007552D3" w14:paraId="2C8156D1" w14:textId="77777777" w:rsidTr="000734EE">
        <w:trPr>
          <w:trHeight w:val="330"/>
        </w:trPr>
        <w:tc>
          <w:tcPr>
            <w:tcW w:w="360" w:type="pct"/>
            <w:tcBorders>
              <w:top w:val="nil"/>
              <w:left w:val="single" w:sz="4" w:space="0" w:color="auto"/>
              <w:bottom w:val="single" w:sz="4" w:space="0" w:color="auto"/>
              <w:right w:val="single" w:sz="4" w:space="0" w:color="auto"/>
            </w:tcBorders>
            <w:shd w:val="clear" w:color="auto" w:fill="auto"/>
            <w:vAlign w:val="center"/>
            <w:hideMark/>
          </w:tcPr>
          <w:p w14:paraId="2E315566" w14:textId="77777777" w:rsidR="007552D3" w:rsidRPr="00F37545" w:rsidRDefault="007552D3" w:rsidP="00F37545">
            <w:pPr>
              <w:rPr>
                <w:b/>
                <w:bCs/>
                <w:sz w:val="22"/>
                <w:szCs w:val="22"/>
                <w:lang w:val="en-KE" w:eastAsia="en-KE"/>
              </w:rPr>
            </w:pPr>
            <w:r w:rsidRPr="00F37545">
              <w:rPr>
                <w:b/>
                <w:bCs/>
                <w:sz w:val="22"/>
                <w:szCs w:val="22"/>
                <w:lang w:val="en-US" w:eastAsia="en-KE"/>
              </w:rPr>
              <w:t>Jan</w:t>
            </w:r>
          </w:p>
        </w:tc>
        <w:tc>
          <w:tcPr>
            <w:tcW w:w="359" w:type="pct"/>
            <w:tcBorders>
              <w:top w:val="nil"/>
              <w:left w:val="nil"/>
              <w:bottom w:val="single" w:sz="4" w:space="0" w:color="auto"/>
              <w:right w:val="single" w:sz="4" w:space="0" w:color="auto"/>
            </w:tcBorders>
            <w:shd w:val="clear" w:color="auto" w:fill="auto"/>
            <w:vAlign w:val="center"/>
            <w:hideMark/>
          </w:tcPr>
          <w:p w14:paraId="35A5EE51" w14:textId="35ED7AB7" w:rsidR="007552D3" w:rsidRPr="00F37545" w:rsidRDefault="007552D3" w:rsidP="00F37545">
            <w:pPr>
              <w:rPr>
                <w:b/>
                <w:bCs/>
                <w:sz w:val="22"/>
                <w:szCs w:val="22"/>
                <w:lang w:val="en-KE" w:eastAsia="en-KE"/>
              </w:rPr>
            </w:pPr>
            <w:r w:rsidRPr="00F37545">
              <w:rPr>
                <w:b/>
                <w:bCs/>
                <w:sz w:val="22"/>
                <w:szCs w:val="22"/>
                <w:lang w:val="en-US" w:eastAsia="en-KE"/>
              </w:rPr>
              <w:t>Feb</w:t>
            </w:r>
          </w:p>
        </w:tc>
        <w:tc>
          <w:tcPr>
            <w:tcW w:w="662" w:type="pct"/>
            <w:gridSpan w:val="2"/>
            <w:tcBorders>
              <w:top w:val="single" w:sz="4" w:space="0" w:color="auto"/>
              <w:left w:val="nil"/>
              <w:bottom w:val="single" w:sz="4" w:space="0" w:color="auto"/>
              <w:right w:val="single" w:sz="4" w:space="0" w:color="auto"/>
            </w:tcBorders>
            <w:shd w:val="clear" w:color="auto" w:fill="auto"/>
            <w:vAlign w:val="center"/>
            <w:hideMark/>
          </w:tcPr>
          <w:p w14:paraId="39B45F1C" w14:textId="57B5CE31" w:rsidR="007552D3" w:rsidRPr="00F37545" w:rsidRDefault="007552D3" w:rsidP="00F37545">
            <w:pPr>
              <w:rPr>
                <w:b/>
                <w:bCs/>
                <w:sz w:val="22"/>
                <w:szCs w:val="22"/>
                <w:lang w:val="en-KE" w:eastAsia="en-KE"/>
              </w:rPr>
            </w:pPr>
            <w:r w:rsidRPr="00F37545">
              <w:rPr>
                <w:b/>
                <w:bCs/>
                <w:sz w:val="22"/>
                <w:szCs w:val="22"/>
                <w:lang w:val="en-US" w:eastAsia="en-KE"/>
              </w:rPr>
              <w:t>Mar</w:t>
            </w:r>
          </w:p>
        </w:tc>
        <w:tc>
          <w:tcPr>
            <w:tcW w:w="304" w:type="pct"/>
            <w:tcBorders>
              <w:top w:val="nil"/>
              <w:left w:val="nil"/>
              <w:bottom w:val="single" w:sz="4" w:space="0" w:color="auto"/>
              <w:right w:val="single" w:sz="4" w:space="0" w:color="auto"/>
            </w:tcBorders>
            <w:shd w:val="clear" w:color="auto" w:fill="auto"/>
            <w:vAlign w:val="center"/>
            <w:hideMark/>
          </w:tcPr>
          <w:p w14:paraId="57B18C2A" w14:textId="77777777" w:rsidR="007552D3" w:rsidRPr="00F37545" w:rsidRDefault="007552D3" w:rsidP="00F37545">
            <w:pPr>
              <w:rPr>
                <w:b/>
                <w:bCs/>
                <w:sz w:val="22"/>
                <w:szCs w:val="22"/>
                <w:lang w:val="en-KE" w:eastAsia="en-KE"/>
              </w:rPr>
            </w:pPr>
            <w:r w:rsidRPr="00F37545">
              <w:rPr>
                <w:b/>
                <w:bCs/>
                <w:sz w:val="22"/>
                <w:szCs w:val="22"/>
                <w:lang w:val="en-US" w:eastAsia="en-KE"/>
              </w:rPr>
              <w:t>Apr</w:t>
            </w:r>
          </w:p>
        </w:tc>
        <w:tc>
          <w:tcPr>
            <w:tcW w:w="329" w:type="pct"/>
            <w:tcBorders>
              <w:top w:val="nil"/>
              <w:left w:val="nil"/>
              <w:bottom w:val="single" w:sz="4" w:space="0" w:color="auto"/>
              <w:right w:val="single" w:sz="4" w:space="0" w:color="auto"/>
            </w:tcBorders>
            <w:shd w:val="clear" w:color="auto" w:fill="auto"/>
            <w:vAlign w:val="center"/>
            <w:hideMark/>
          </w:tcPr>
          <w:p w14:paraId="515AFCAD" w14:textId="77777777" w:rsidR="007552D3" w:rsidRPr="00F37545" w:rsidRDefault="007552D3" w:rsidP="00F37545">
            <w:pPr>
              <w:rPr>
                <w:b/>
                <w:bCs/>
                <w:sz w:val="22"/>
                <w:szCs w:val="22"/>
                <w:lang w:val="en-KE" w:eastAsia="en-KE"/>
              </w:rPr>
            </w:pPr>
            <w:r w:rsidRPr="00F37545">
              <w:rPr>
                <w:b/>
                <w:bCs/>
                <w:sz w:val="22"/>
                <w:szCs w:val="22"/>
                <w:lang w:val="en-US" w:eastAsia="en-KE"/>
              </w:rPr>
              <w:t>May</w:t>
            </w:r>
          </w:p>
        </w:tc>
        <w:tc>
          <w:tcPr>
            <w:tcW w:w="303" w:type="pct"/>
            <w:tcBorders>
              <w:top w:val="nil"/>
              <w:left w:val="nil"/>
              <w:bottom w:val="single" w:sz="4" w:space="0" w:color="auto"/>
              <w:right w:val="single" w:sz="4" w:space="0" w:color="auto"/>
            </w:tcBorders>
            <w:shd w:val="clear" w:color="auto" w:fill="auto"/>
            <w:vAlign w:val="center"/>
            <w:hideMark/>
          </w:tcPr>
          <w:p w14:paraId="2A9C5563" w14:textId="77777777" w:rsidR="007552D3" w:rsidRPr="00F37545" w:rsidRDefault="007552D3" w:rsidP="00F37545">
            <w:pPr>
              <w:rPr>
                <w:b/>
                <w:bCs/>
                <w:sz w:val="22"/>
                <w:szCs w:val="22"/>
                <w:lang w:val="en-KE" w:eastAsia="en-KE"/>
              </w:rPr>
            </w:pPr>
            <w:r w:rsidRPr="00F37545">
              <w:rPr>
                <w:b/>
                <w:bCs/>
                <w:sz w:val="22"/>
                <w:szCs w:val="22"/>
                <w:lang w:val="en-US" w:eastAsia="en-KE"/>
              </w:rPr>
              <w:t>Jun</w:t>
            </w:r>
          </w:p>
        </w:tc>
        <w:tc>
          <w:tcPr>
            <w:tcW w:w="314" w:type="pct"/>
            <w:tcBorders>
              <w:top w:val="nil"/>
              <w:left w:val="nil"/>
              <w:bottom w:val="single" w:sz="4" w:space="0" w:color="auto"/>
              <w:right w:val="single" w:sz="4" w:space="0" w:color="auto"/>
            </w:tcBorders>
            <w:shd w:val="clear" w:color="auto" w:fill="auto"/>
            <w:vAlign w:val="center"/>
            <w:hideMark/>
          </w:tcPr>
          <w:p w14:paraId="4A8476F4" w14:textId="77777777" w:rsidR="007552D3" w:rsidRPr="00F37545" w:rsidRDefault="007552D3" w:rsidP="00F37545">
            <w:pPr>
              <w:rPr>
                <w:b/>
                <w:bCs/>
                <w:sz w:val="22"/>
                <w:szCs w:val="22"/>
                <w:lang w:val="en-KE" w:eastAsia="en-KE"/>
              </w:rPr>
            </w:pPr>
            <w:r w:rsidRPr="00F37545">
              <w:rPr>
                <w:b/>
                <w:bCs/>
                <w:sz w:val="22"/>
                <w:szCs w:val="22"/>
                <w:lang w:val="en-US" w:eastAsia="en-KE"/>
              </w:rPr>
              <w:t>Jul</w:t>
            </w:r>
          </w:p>
        </w:tc>
        <w:tc>
          <w:tcPr>
            <w:tcW w:w="313" w:type="pct"/>
            <w:tcBorders>
              <w:top w:val="nil"/>
              <w:left w:val="nil"/>
              <w:bottom w:val="single" w:sz="4" w:space="0" w:color="auto"/>
              <w:right w:val="single" w:sz="4" w:space="0" w:color="auto"/>
            </w:tcBorders>
            <w:shd w:val="clear" w:color="auto" w:fill="auto"/>
            <w:vAlign w:val="center"/>
            <w:hideMark/>
          </w:tcPr>
          <w:p w14:paraId="56D44D20" w14:textId="77777777" w:rsidR="007552D3" w:rsidRPr="00F37545" w:rsidRDefault="007552D3" w:rsidP="00F37545">
            <w:pPr>
              <w:rPr>
                <w:b/>
                <w:bCs/>
                <w:sz w:val="22"/>
                <w:szCs w:val="22"/>
                <w:lang w:val="en-KE" w:eastAsia="en-KE"/>
              </w:rPr>
            </w:pPr>
            <w:r w:rsidRPr="00F37545">
              <w:rPr>
                <w:b/>
                <w:bCs/>
                <w:sz w:val="22"/>
                <w:szCs w:val="22"/>
                <w:lang w:val="en-US" w:eastAsia="en-KE"/>
              </w:rPr>
              <w:t>Aug</w:t>
            </w:r>
          </w:p>
        </w:tc>
        <w:tc>
          <w:tcPr>
            <w:tcW w:w="324" w:type="pct"/>
            <w:tcBorders>
              <w:top w:val="nil"/>
              <w:left w:val="nil"/>
              <w:bottom w:val="single" w:sz="4" w:space="0" w:color="auto"/>
              <w:right w:val="single" w:sz="4" w:space="0" w:color="auto"/>
            </w:tcBorders>
            <w:shd w:val="clear" w:color="auto" w:fill="auto"/>
            <w:vAlign w:val="center"/>
            <w:hideMark/>
          </w:tcPr>
          <w:p w14:paraId="299FA057" w14:textId="77777777" w:rsidR="007552D3" w:rsidRPr="00F37545" w:rsidRDefault="007552D3" w:rsidP="00F37545">
            <w:pPr>
              <w:rPr>
                <w:b/>
                <w:bCs/>
                <w:sz w:val="22"/>
                <w:szCs w:val="22"/>
                <w:lang w:val="en-KE" w:eastAsia="en-KE"/>
              </w:rPr>
            </w:pPr>
            <w:r w:rsidRPr="00F37545">
              <w:rPr>
                <w:b/>
                <w:bCs/>
                <w:sz w:val="22"/>
                <w:szCs w:val="22"/>
                <w:lang w:val="en-US" w:eastAsia="en-KE"/>
              </w:rPr>
              <w:t>Sept</w:t>
            </w:r>
          </w:p>
        </w:tc>
        <w:tc>
          <w:tcPr>
            <w:tcW w:w="714" w:type="pct"/>
            <w:gridSpan w:val="2"/>
            <w:tcBorders>
              <w:top w:val="single" w:sz="4" w:space="0" w:color="auto"/>
              <w:left w:val="nil"/>
              <w:bottom w:val="single" w:sz="4" w:space="0" w:color="auto"/>
              <w:right w:val="single" w:sz="4" w:space="0" w:color="auto"/>
            </w:tcBorders>
            <w:shd w:val="clear" w:color="auto" w:fill="auto"/>
            <w:vAlign w:val="center"/>
            <w:hideMark/>
          </w:tcPr>
          <w:p w14:paraId="6BD6E9AB" w14:textId="77777777" w:rsidR="007552D3" w:rsidRPr="00F37545" w:rsidRDefault="007552D3" w:rsidP="00F37545">
            <w:pPr>
              <w:rPr>
                <w:b/>
                <w:bCs/>
                <w:sz w:val="22"/>
                <w:szCs w:val="22"/>
                <w:lang w:val="en-KE" w:eastAsia="en-KE"/>
              </w:rPr>
            </w:pPr>
            <w:r w:rsidRPr="00F37545">
              <w:rPr>
                <w:b/>
                <w:bCs/>
                <w:sz w:val="22"/>
                <w:szCs w:val="22"/>
                <w:lang w:val="en-US" w:eastAsia="en-KE"/>
              </w:rPr>
              <w:t>Oct</w:t>
            </w:r>
          </w:p>
        </w:tc>
        <w:tc>
          <w:tcPr>
            <w:tcW w:w="401" w:type="pct"/>
            <w:tcBorders>
              <w:top w:val="nil"/>
              <w:left w:val="nil"/>
              <w:bottom w:val="single" w:sz="4" w:space="0" w:color="auto"/>
              <w:right w:val="single" w:sz="4" w:space="0" w:color="auto"/>
            </w:tcBorders>
            <w:shd w:val="clear" w:color="auto" w:fill="auto"/>
            <w:vAlign w:val="center"/>
            <w:hideMark/>
          </w:tcPr>
          <w:p w14:paraId="2ECF2A93" w14:textId="77777777" w:rsidR="007552D3" w:rsidRPr="00F37545" w:rsidRDefault="007552D3" w:rsidP="00F37545">
            <w:pPr>
              <w:rPr>
                <w:b/>
                <w:bCs/>
                <w:sz w:val="22"/>
                <w:szCs w:val="22"/>
                <w:lang w:val="en-KE" w:eastAsia="en-KE"/>
              </w:rPr>
            </w:pPr>
            <w:r w:rsidRPr="00F37545">
              <w:rPr>
                <w:b/>
                <w:bCs/>
                <w:sz w:val="22"/>
                <w:szCs w:val="22"/>
                <w:lang w:val="en-US" w:eastAsia="en-KE"/>
              </w:rPr>
              <w:t>Nov</w:t>
            </w:r>
          </w:p>
        </w:tc>
        <w:tc>
          <w:tcPr>
            <w:tcW w:w="619" w:type="pct"/>
            <w:tcBorders>
              <w:top w:val="nil"/>
              <w:left w:val="nil"/>
              <w:bottom w:val="single" w:sz="4" w:space="0" w:color="auto"/>
              <w:right w:val="single" w:sz="4" w:space="0" w:color="auto"/>
            </w:tcBorders>
            <w:shd w:val="clear" w:color="auto" w:fill="auto"/>
            <w:vAlign w:val="center"/>
            <w:hideMark/>
          </w:tcPr>
          <w:p w14:paraId="5CA12124" w14:textId="77777777" w:rsidR="007552D3" w:rsidRPr="00F37545" w:rsidRDefault="007552D3" w:rsidP="00F37545">
            <w:pPr>
              <w:rPr>
                <w:b/>
                <w:bCs/>
                <w:sz w:val="22"/>
                <w:szCs w:val="22"/>
                <w:lang w:val="en-KE" w:eastAsia="en-KE"/>
              </w:rPr>
            </w:pPr>
            <w:r w:rsidRPr="00F37545">
              <w:rPr>
                <w:b/>
                <w:bCs/>
                <w:sz w:val="22"/>
                <w:szCs w:val="22"/>
                <w:lang w:val="en-US" w:eastAsia="en-KE"/>
              </w:rPr>
              <w:t>Dec</w:t>
            </w:r>
          </w:p>
        </w:tc>
      </w:tr>
    </w:tbl>
    <w:p w14:paraId="12EB79CB" w14:textId="738F4395" w:rsidR="007552D3" w:rsidRDefault="007552D3"/>
    <w:p w14:paraId="0C03B0FA" w14:textId="77777777" w:rsidR="00BC28CE" w:rsidRPr="00AA6A84" w:rsidRDefault="00000000">
      <w:pPr>
        <w:pStyle w:val="Heading2"/>
        <w:rPr>
          <w:i w:val="0"/>
          <w:iCs/>
        </w:rPr>
      </w:pPr>
      <w:bookmarkStart w:id="22" w:name="type-of-setting"/>
      <w:bookmarkStart w:id="23" w:name="_Toc161945676"/>
      <w:bookmarkEnd w:id="20"/>
      <w:r w:rsidRPr="00AA6A84">
        <w:rPr>
          <w:i w:val="0"/>
          <w:iCs/>
        </w:rPr>
        <w:t>Type of Setting</w:t>
      </w:r>
      <w:bookmarkEnd w:id="23"/>
    </w:p>
    <w:p w14:paraId="695F44E1" w14:textId="2A2F3889" w:rsidR="00BC28CE" w:rsidRPr="00F37545" w:rsidRDefault="00000000" w:rsidP="000734EE">
      <w:pPr>
        <w:jc w:val="both"/>
      </w:pPr>
      <w:r w:rsidRPr="00F37545">
        <w:t xml:space="preserve">This survey took place in </w:t>
      </w:r>
      <w:r w:rsidR="00F37545">
        <w:t xml:space="preserve">both </w:t>
      </w:r>
      <w:r w:rsidRPr="00F37545">
        <w:t>Rural &amp; Urban of Isiolo County, Kenya</w:t>
      </w:r>
    </w:p>
    <w:p w14:paraId="06E25577" w14:textId="77777777" w:rsidR="00BC28CE" w:rsidRPr="00AA6A84" w:rsidRDefault="00000000">
      <w:pPr>
        <w:pStyle w:val="Heading2"/>
        <w:rPr>
          <w:i w:val="0"/>
          <w:iCs/>
        </w:rPr>
      </w:pPr>
      <w:bookmarkStart w:id="24" w:name="survey-location"/>
      <w:bookmarkStart w:id="25" w:name="_Toc161945677"/>
      <w:bookmarkEnd w:id="22"/>
      <w:r w:rsidRPr="00AA6A84">
        <w:rPr>
          <w:i w:val="0"/>
          <w:iCs/>
        </w:rPr>
        <w:t>Survey Location</w:t>
      </w:r>
      <w:bookmarkEnd w:id="25"/>
    </w:p>
    <w:p w14:paraId="457CF0EE" w14:textId="1D6446D1" w:rsidR="00AA6A84" w:rsidRDefault="00AA6A84" w:rsidP="000734EE">
      <w:pPr>
        <w:jc w:val="both"/>
      </w:pPr>
      <w:r w:rsidRPr="00AA6A84">
        <w:t xml:space="preserve">The survey took place in Isiolo County, Kenya, which is one of the nation's 47 counties and is administratively situated within the </w:t>
      </w:r>
      <w:r>
        <w:t>Upper Eastern</w:t>
      </w:r>
      <w:r w:rsidRPr="00AA6A84">
        <w:t xml:space="preserve"> region</w:t>
      </w:r>
      <w:r>
        <w:t>.</w:t>
      </w:r>
    </w:p>
    <w:p w14:paraId="4322A27A" w14:textId="1ABE695C" w:rsidR="00BC28CE" w:rsidRPr="00AA6A84" w:rsidRDefault="00000000">
      <w:pPr>
        <w:pStyle w:val="Heading2"/>
        <w:rPr>
          <w:i w:val="0"/>
          <w:iCs/>
        </w:rPr>
      </w:pPr>
      <w:bookmarkStart w:id="26" w:name="excluded-areas-if-applicable"/>
      <w:bookmarkStart w:id="27" w:name="_Toc161945678"/>
      <w:bookmarkEnd w:id="24"/>
      <w:r w:rsidRPr="00AA6A84">
        <w:rPr>
          <w:i w:val="0"/>
          <w:iCs/>
        </w:rPr>
        <w:t xml:space="preserve">Excluded Areas </w:t>
      </w:r>
      <w:bookmarkEnd w:id="27"/>
    </w:p>
    <w:p w14:paraId="3B367730" w14:textId="55817794" w:rsidR="00BC28CE" w:rsidRDefault="000734EE" w:rsidP="000734EE">
      <w:pPr>
        <w:jc w:val="both"/>
      </w:pPr>
      <w:r w:rsidRPr="000734EE">
        <w:t>The decision to exclude certain areas from data collection within the survey location, namely Gotu, El Dera, and Komu, was primarily attributed to security concerns.</w:t>
      </w:r>
    </w:p>
    <w:p w14:paraId="33873472" w14:textId="77777777" w:rsidR="00BC28CE" w:rsidRPr="00E5329F" w:rsidRDefault="00000000">
      <w:pPr>
        <w:pStyle w:val="Heading1"/>
        <w:rPr>
          <w:i w:val="0"/>
          <w:iCs/>
        </w:rPr>
      </w:pPr>
      <w:bookmarkStart w:id="28" w:name="survey-goal-and-objectives"/>
      <w:bookmarkStart w:id="29" w:name="_Toc161945679"/>
      <w:bookmarkEnd w:id="8"/>
      <w:bookmarkEnd w:id="26"/>
      <w:r w:rsidRPr="00E5329F">
        <w:rPr>
          <w:i w:val="0"/>
          <w:iCs/>
        </w:rPr>
        <w:t>Survey Goal and Objectives</w:t>
      </w:r>
      <w:bookmarkEnd w:id="29"/>
    </w:p>
    <w:p w14:paraId="64F3C23E" w14:textId="77777777" w:rsidR="00BC28CE" w:rsidRPr="00E5329F" w:rsidRDefault="00000000">
      <w:pPr>
        <w:pStyle w:val="Heading2"/>
        <w:rPr>
          <w:i w:val="0"/>
          <w:iCs/>
        </w:rPr>
      </w:pPr>
      <w:bookmarkStart w:id="30" w:name="survey-goal-and-primary-objective"/>
      <w:bookmarkStart w:id="31" w:name="_Toc161945680"/>
      <w:r w:rsidRPr="00E5329F">
        <w:rPr>
          <w:i w:val="0"/>
          <w:iCs/>
        </w:rPr>
        <w:t>Survey Goal and Primary Objective</w:t>
      </w:r>
      <w:bookmarkEnd w:id="31"/>
    </w:p>
    <w:p w14:paraId="364B82BB" w14:textId="3122A2D7" w:rsidR="00BC28CE" w:rsidRDefault="00000000" w:rsidP="000734EE">
      <w:pPr>
        <w:jc w:val="both"/>
      </w:pPr>
      <w:r>
        <w:t xml:space="preserve">The overall objective of this survey </w:t>
      </w:r>
      <w:r w:rsidR="000734EE">
        <w:t>wa</w:t>
      </w:r>
      <w:r>
        <w:t>s to determine the prevalence of acute malnutrition among children 6-59 months and women of reproductive age 15 – 49 years in Isiolo County.</w:t>
      </w:r>
    </w:p>
    <w:p w14:paraId="09E305FF" w14:textId="77777777" w:rsidR="00BC28CE" w:rsidRPr="00E5329F" w:rsidRDefault="00000000">
      <w:pPr>
        <w:pStyle w:val="Heading2"/>
        <w:rPr>
          <w:i w:val="0"/>
          <w:iCs/>
        </w:rPr>
      </w:pPr>
      <w:bookmarkStart w:id="32" w:name="specific-survey-objectives"/>
      <w:bookmarkStart w:id="33" w:name="_Toc161945681"/>
      <w:bookmarkEnd w:id="30"/>
      <w:r w:rsidRPr="00E5329F">
        <w:rPr>
          <w:i w:val="0"/>
          <w:iCs/>
        </w:rPr>
        <w:t>Specific Survey Objectives</w:t>
      </w:r>
      <w:bookmarkEnd w:id="33"/>
    </w:p>
    <w:p w14:paraId="6569B4BE" w14:textId="77777777" w:rsidR="00BC28CE" w:rsidRDefault="00000000">
      <w:r>
        <w:t>Outline the specific objectives of your survey.</w:t>
      </w:r>
    </w:p>
    <w:p w14:paraId="2347C434" w14:textId="385E4F3B" w:rsidR="00BC28CE" w:rsidRDefault="00000000">
      <w:pPr>
        <w:numPr>
          <w:ilvl w:val="0"/>
          <w:numId w:val="27"/>
        </w:numPr>
      </w:pPr>
      <w:r>
        <w:t xml:space="preserve">To estimate the prevalence of acute and chronic malnutrition in children aged 6 to 59 </w:t>
      </w:r>
      <w:r w:rsidR="000734EE">
        <w:t>months.</w:t>
      </w:r>
    </w:p>
    <w:p w14:paraId="133EB6F1" w14:textId="77777777" w:rsidR="00BC28CE" w:rsidRDefault="00000000">
      <w:pPr>
        <w:numPr>
          <w:ilvl w:val="0"/>
          <w:numId w:val="27"/>
        </w:numPr>
      </w:pPr>
      <w:r>
        <w:t>To estimate the prevalence of identified morbidities (diarrhea, fever, cough etc.) in children 6‐59months in the last two weeks prior to the survey dates.</w:t>
      </w:r>
    </w:p>
    <w:p w14:paraId="67FCE9EE" w14:textId="77777777" w:rsidR="00BC28CE" w:rsidRDefault="00000000">
      <w:pPr>
        <w:numPr>
          <w:ilvl w:val="0"/>
          <w:numId w:val="27"/>
        </w:numPr>
      </w:pPr>
      <w:r>
        <w:lastRenderedPageBreak/>
        <w:t>To determine the coverage for zinc supplementation and use of ORS in children 6-59 months during episodes of diarrhea.</w:t>
      </w:r>
    </w:p>
    <w:p w14:paraId="6CA73A02" w14:textId="77777777" w:rsidR="00BC28CE" w:rsidRDefault="00000000">
      <w:pPr>
        <w:numPr>
          <w:ilvl w:val="0"/>
          <w:numId w:val="27"/>
        </w:numPr>
      </w:pPr>
      <w:r>
        <w:t>To assess immunization coverage (BCG, OPV1 &amp; OPV3 for children 6 to 59 months, and Measles 1 &amp; Measles 2 for children 9 to 59 months)</w:t>
      </w:r>
    </w:p>
    <w:p w14:paraId="666943CE" w14:textId="77777777" w:rsidR="00BC28CE" w:rsidRDefault="00000000">
      <w:pPr>
        <w:numPr>
          <w:ilvl w:val="0"/>
          <w:numId w:val="27"/>
        </w:numPr>
      </w:pPr>
      <w:r>
        <w:t>To estimate the coverage of deworming (12-59 months) and Vitamin A supplementation (6-59 months).</w:t>
      </w:r>
    </w:p>
    <w:p w14:paraId="6F5B1105" w14:textId="77777777" w:rsidR="00BC28CE" w:rsidRDefault="00000000">
      <w:pPr>
        <w:numPr>
          <w:ilvl w:val="0"/>
          <w:numId w:val="27"/>
        </w:numPr>
      </w:pPr>
      <w:r>
        <w:t>To assess the health seeking behavior of mothers/caretakers of children 6-59 months.</w:t>
      </w:r>
    </w:p>
    <w:p w14:paraId="13A8EF32" w14:textId="77777777" w:rsidR="00BC28CE" w:rsidRDefault="00000000">
      <w:pPr>
        <w:numPr>
          <w:ilvl w:val="0"/>
          <w:numId w:val="27"/>
        </w:numPr>
      </w:pPr>
      <w:r>
        <w:t>To assess IYCF practices</w:t>
      </w:r>
    </w:p>
    <w:p w14:paraId="52ED06BD" w14:textId="77777777" w:rsidR="00BC28CE" w:rsidRDefault="00000000">
      <w:pPr>
        <w:numPr>
          <w:ilvl w:val="0"/>
          <w:numId w:val="27"/>
        </w:numPr>
      </w:pPr>
      <w:r>
        <w:t>To assess malnutrition status of Women of Reproductive Age by MUAC</w:t>
      </w:r>
    </w:p>
    <w:p w14:paraId="6A2855A0" w14:textId="77777777" w:rsidR="00BC28CE" w:rsidRDefault="00000000">
      <w:pPr>
        <w:numPr>
          <w:ilvl w:val="0"/>
          <w:numId w:val="27"/>
        </w:numPr>
      </w:pPr>
      <w:r>
        <w:t>To estimate coverage of iron and folic acid supplementation during pregnancy among Women of Reproductive Age</w:t>
      </w:r>
    </w:p>
    <w:p w14:paraId="2869DA94" w14:textId="77777777" w:rsidR="00BC28CE" w:rsidRDefault="00000000">
      <w:pPr>
        <w:numPr>
          <w:ilvl w:val="0"/>
          <w:numId w:val="27"/>
        </w:numPr>
      </w:pPr>
      <w:r>
        <w:t xml:space="preserve">To collect contextual information on possible causes of malnutrition such as household food security, water, </w:t>
      </w:r>
      <w:proofErr w:type="gramStart"/>
      <w:r>
        <w:t>hygiene</w:t>
      </w:r>
      <w:proofErr w:type="gramEnd"/>
      <w:r>
        <w:t xml:space="preserve"> and sanitation (WASH) practices</w:t>
      </w:r>
    </w:p>
    <w:p w14:paraId="7FF3387A" w14:textId="1BEB6595" w:rsidR="00BC28CE" w:rsidRDefault="00000000">
      <w:pPr>
        <w:numPr>
          <w:ilvl w:val="0"/>
          <w:numId w:val="27"/>
        </w:numPr>
      </w:pPr>
      <w:r>
        <w:t xml:space="preserve">Develop recommendations based on survey </w:t>
      </w:r>
      <w:r w:rsidR="000734EE">
        <w:t>findings.</w:t>
      </w:r>
    </w:p>
    <w:p w14:paraId="30CAA2EC" w14:textId="77777777" w:rsidR="00BC28CE" w:rsidRPr="00E5329F" w:rsidRDefault="00000000">
      <w:pPr>
        <w:pStyle w:val="Heading2"/>
        <w:rPr>
          <w:i w:val="0"/>
          <w:iCs/>
        </w:rPr>
      </w:pPr>
      <w:bookmarkStart w:id="34" w:name="survey-justification"/>
      <w:bookmarkStart w:id="35" w:name="_Toc161945682"/>
      <w:bookmarkEnd w:id="32"/>
      <w:r w:rsidRPr="00E5329F">
        <w:rPr>
          <w:i w:val="0"/>
          <w:iCs/>
        </w:rPr>
        <w:t>Survey Justification</w:t>
      </w:r>
      <w:bookmarkEnd w:id="35"/>
    </w:p>
    <w:p w14:paraId="1DB1E478" w14:textId="1A4EBECB" w:rsidR="000734EE" w:rsidRDefault="000734EE" w:rsidP="000734EE">
      <w:pPr>
        <w:jc w:val="both"/>
      </w:pPr>
      <w:r w:rsidRPr="000734EE">
        <w:t>The survey was justified by several factors: Firstly, recent assessments had projected an improvement in acute food insecurity from Crisis (IPC phase 3) to IPC phase 2, but KHIS data indicated a concerning increase in diarrheal diseases between August and November 2023, peaking in November with a 55% rise compared to the previous year. Despite ongoing health, nutrition, WASH, and food security interventions by the County Government and partners, the survey was deemed necessary to assess progress and inform further response actions and program adjustments. Additionally, as the survey aligned with seasonality trends, it provided crucial insights into the current health and nutrition situation in Isiolo County, facilitating the assessment of the impact of the 2023 short rains season and informing the subsequent short rain assessment scheduled for January-February 2024</w:t>
      </w:r>
      <w:r>
        <w:t>.</w:t>
      </w:r>
    </w:p>
    <w:p w14:paraId="6E8F3510" w14:textId="77777777" w:rsidR="000734EE" w:rsidRDefault="000734EE"/>
    <w:p w14:paraId="141695BA" w14:textId="77777777" w:rsidR="000734EE" w:rsidRPr="000734EE" w:rsidRDefault="000734EE" w:rsidP="000734EE">
      <w:pPr>
        <w:sectPr w:rsidR="000734EE" w:rsidRPr="000734EE" w:rsidSect="0088658D">
          <w:pgSz w:w="12240" w:h="15840"/>
          <w:pgMar w:top="1440" w:right="1440" w:bottom="1440" w:left="1440" w:header="708" w:footer="708" w:gutter="0"/>
          <w:cols w:space="708"/>
          <w:titlePg/>
          <w:docGrid w:linePitch="360"/>
        </w:sectPr>
      </w:pPr>
      <w:bookmarkStart w:id="36" w:name="methodology"/>
      <w:bookmarkStart w:id="37" w:name="_Toc161945683"/>
      <w:bookmarkEnd w:id="28"/>
      <w:bookmarkEnd w:id="34"/>
    </w:p>
    <w:p w14:paraId="6839A074" w14:textId="77777777" w:rsidR="00BC28CE" w:rsidRDefault="00000000">
      <w:pPr>
        <w:pStyle w:val="Heading1"/>
      </w:pPr>
      <w:r w:rsidRPr="00181DCF">
        <w:rPr>
          <w:i w:val="0"/>
          <w:iCs/>
        </w:rPr>
        <w:lastRenderedPageBreak/>
        <w:t>Methodology</w:t>
      </w:r>
      <w:bookmarkEnd w:id="37"/>
    </w:p>
    <w:p w14:paraId="05CD7E9A" w14:textId="77777777" w:rsidR="00BC28CE" w:rsidRPr="00181DCF" w:rsidRDefault="00000000">
      <w:pPr>
        <w:pStyle w:val="Heading2"/>
        <w:rPr>
          <w:i w:val="0"/>
          <w:iCs/>
        </w:rPr>
      </w:pPr>
      <w:bookmarkStart w:id="38" w:name="survey-design"/>
      <w:bookmarkStart w:id="39" w:name="_Toc161945684"/>
      <w:r w:rsidRPr="00181DCF">
        <w:rPr>
          <w:i w:val="0"/>
          <w:iCs/>
        </w:rPr>
        <w:t>Survey Design</w:t>
      </w:r>
      <w:bookmarkEnd w:id="39"/>
    </w:p>
    <w:p w14:paraId="22158D21" w14:textId="15F44A57" w:rsidR="00181DCF" w:rsidRPr="00181DCF" w:rsidRDefault="00181DCF" w:rsidP="00181DCF">
      <w:pPr>
        <w:jc w:val="both"/>
      </w:pPr>
      <w:r w:rsidRPr="00181DCF">
        <w:t>The survey was designed as a cross-sectional and descriptive study, adopting the Standardized Monitoring and Assessment on Relief and Transition (SMART) methodology. It utilized a quantitative approach to gather data.</w:t>
      </w:r>
    </w:p>
    <w:p w14:paraId="377E821C" w14:textId="77777777" w:rsidR="00BC28CE" w:rsidRDefault="00000000">
      <w:pPr>
        <w:pStyle w:val="Heading3"/>
      </w:pPr>
      <w:bookmarkStart w:id="40" w:name="sample-size"/>
      <w:r>
        <w:t>Sample Size</w:t>
      </w:r>
    </w:p>
    <w:p w14:paraId="381280C5" w14:textId="77777777" w:rsidR="00181DCF" w:rsidRDefault="00181DCF" w:rsidP="00181DCF">
      <w:pPr>
        <w:jc w:val="both"/>
      </w:pPr>
      <w:r>
        <w:t>The survey employed cluster sampling methodology, chosen for its efficiency in covering large geographic areas and populations while ensuring representation. The sample size for anthropometry was determined using the SMART+ infrastructure. To calculate the sample size, assumptions for expected prevalence, expected design effect (DEFF), and required precision were made. The expected prevalence of acute malnutrition (Global Acute Malnutrition) was considered, along with the desired level of precision to achieve reasonable accuracy. If the number of children was converted into the number of households, this was likely done by estimating the average number of children per household within the target population.</w:t>
      </w:r>
    </w:p>
    <w:p w14:paraId="71B894ED" w14:textId="77777777" w:rsidR="00181DCF" w:rsidRDefault="00181DCF" w:rsidP="00181DCF">
      <w:pPr>
        <w:jc w:val="both"/>
      </w:pPr>
      <w:r>
        <w:t>Sample sizes were adjusted for potential non-response, with a predicted non-response rate factored into the calculations. This adjustment aimed to ensure that the final sample size would still provide statistically significant results even if some households or individuals did not participate in the survey.</w:t>
      </w:r>
    </w:p>
    <w:p w14:paraId="73643599" w14:textId="28B77836" w:rsidR="00181DCF" w:rsidRDefault="00181DCF" w:rsidP="00181DCF">
      <w:pPr>
        <w:jc w:val="both"/>
      </w:pPr>
      <w:r>
        <w:t>In cluster sampling, the decision on the number of clusters and households per cluster was based on achieving the desired level of precision while considering logistical constraints and resources available for data collection. The number of clusters was determined to adequately represent the geographic and demographic diversity of the survey area, while the number of households per cluster was set to balance precision with operational feasibility.</w:t>
      </w:r>
    </w:p>
    <w:p w14:paraId="59F5408B"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41" w:name="_Toc161945711"/>
      <w:r>
        <w:rPr>
          <w:b/>
        </w:rPr>
        <w:t xml:space="preserve">Table </w:t>
      </w:r>
      <w:bookmarkStart w:id="42" w:name="sampsize-anthro"/>
      <w:r>
        <w:rPr>
          <w:b/>
        </w:rPr>
        <w:fldChar w:fldCharType="begin"/>
      </w:r>
      <w:r>
        <w:rPr>
          <w:b/>
        </w:rPr>
        <w:instrText>STYLEREF 1 \r</w:instrText>
      </w:r>
      <w:r w:rsidR="00822E50">
        <w:rPr>
          <w:b/>
        </w:rPr>
        <w:fldChar w:fldCharType="separate"/>
      </w:r>
      <w:r w:rsidR="00822E50">
        <w:rPr>
          <w:b/>
          <w:noProof/>
        </w:rPr>
        <w:t>6</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w:t>
      </w:r>
      <w:r>
        <w:rPr>
          <w:b/>
        </w:rPr>
        <w:fldChar w:fldCharType="end"/>
      </w:r>
      <w:bookmarkEnd w:id="42"/>
      <w:r>
        <w:rPr>
          <w:b/>
        </w:rPr>
        <w:t xml:space="preserve">: </w:t>
      </w:r>
      <w:r>
        <w:t>Sample Size Calculation of Anthropometry</w:t>
      </w:r>
      <w:bookmarkEnd w:id="41"/>
    </w:p>
    <w:tbl>
      <w:tblPr>
        <w:tblW w:w="0" w:type="pct"/>
        <w:jc w:val="center"/>
        <w:tblLook w:val="0420" w:firstRow="1" w:lastRow="0" w:firstColumn="0" w:lastColumn="0" w:noHBand="0" w:noVBand="1"/>
      </w:tblPr>
      <w:tblGrid>
        <w:gridCol w:w="2038"/>
        <w:gridCol w:w="741"/>
        <w:gridCol w:w="6561"/>
      </w:tblGrid>
      <w:tr w:rsidR="00BC28CE" w:rsidRPr="0063450E" w14:paraId="53402793" w14:textId="77777777">
        <w:trPr>
          <w:tblHeader/>
          <w:jc w:val="center"/>
        </w:trPr>
        <w:tc>
          <w:tcPr>
            <w:tcW w:w="0" w:type="auto"/>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0B9FBC0" w14:textId="77777777" w:rsidR="00BC28CE" w:rsidRPr="0063450E" w:rsidRDefault="00000000">
            <w:pPr>
              <w:pBdr>
                <w:top w:val="none" w:sz="0" w:space="0" w:color="000000"/>
                <w:left w:val="none" w:sz="0" w:space="0" w:color="000000"/>
                <w:bottom w:val="none" w:sz="0" w:space="0" w:color="000000"/>
                <w:right w:val="none" w:sz="0" w:space="0" w:color="000000"/>
              </w:pBdr>
              <w:spacing w:before="60" w:after="60"/>
              <w:ind w:left="60" w:right="20"/>
              <w:rPr>
                <w:rFonts w:asciiTheme="majorHAnsi" w:hAnsiTheme="majorHAnsi"/>
              </w:rPr>
            </w:pPr>
            <w:r w:rsidRPr="0063450E">
              <w:rPr>
                <w:rFonts w:asciiTheme="majorHAnsi" w:eastAsia="DejaVu Sans" w:hAnsiTheme="majorHAnsi" w:cs="DejaVu Sans"/>
                <w:b/>
                <w:color w:val="FFFFFF"/>
                <w:sz w:val="20"/>
                <w:szCs w:val="20"/>
              </w:rPr>
              <w:t>Parameters for Anthropometry</w:t>
            </w:r>
          </w:p>
        </w:tc>
        <w:tc>
          <w:tcPr>
            <w:tcW w:w="0" w:type="auto"/>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9FBB3C3" w14:textId="77777777" w:rsidR="00BC28CE" w:rsidRPr="0063450E" w:rsidRDefault="00000000">
            <w:pPr>
              <w:pBdr>
                <w:top w:val="none" w:sz="0" w:space="0" w:color="000000"/>
                <w:left w:val="none" w:sz="0" w:space="0" w:color="000000"/>
                <w:bottom w:val="none" w:sz="0" w:space="0" w:color="000000"/>
                <w:right w:val="none" w:sz="0" w:space="0" w:color="000000"/>
              </w:pBdr>
              <w:spacing w:before="60" w:after="60"/>
              <w:ind w:left="60" w:right="20"/>
              <w:jc w:val="center"/>
              <w:rPr>
                <w:rFonts w:asciiTheme="majorHAnsi" w:hAnsiTheme="majorHAnsi"/>
              </w:rPr>
            </w:pPr>
            <w:r w:rsidRPr="0063450E">
              <w:rPr>
                <w:rFonts w:asciiTheme="majorHAnsi" w:eastAsia="DejaVu Sans" w:hAnsiTheme="majorHAnsi" w:cs="DejaVu Sans"/>
                <w:b/>
                <w:color w:val="FFFFFF"/>
                <w:sz w:val="20"/>
                <w:szCs w:val="20"/>
              </w:rPr>
              <w:t>Value</w:t>
            </w:r>
          </w:p>
        </w:tc>
        <w:tc>
          <w:tcPr>
            <w:tcW w:w="0" w:type="auto"/>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82C36D3" w14:textId="77777777" w:rsidR="00BC28CE" w:rsidRPr="0063450E" w:rsidRDefault="00000000">
            <w:pPr>
              <w:pBdr>
                <w:top w:val="none" w:sz="0" w:space="0" w:color="000000"/>
                <w:left w:val="none" w:sz="0" w:space="0" w:color="000000"/>
                <w:bottom w:val="none" w:sz="0" w:space="0" w:color="000000"/>
                <w:right w:val="none" w:sz="0" w:space="0" w:color="000000"/>
              </w:pBdr>
              <w:spacing w:before="60" w:after="60"/>
              <w:ind w:left="60" w:right="20"/>
              <w:jc w:val="center"/>
              <w:rPr>
                <w:rFonts w:asciiTheme="majorHAnsi" w:hAnsiTheme="majorHAnsi"/>
              </w:rPr>
            </w:pPr>
            <w:r w:rsidRPr="0063450E">
              <w:rPr>
                <w:rFonts w:asciiTheme="majorHAnsi" w:eastAsia="DejaVu Sans" w:hAnsiTheme="majorHAnsi" w:cs="DejaVu Sans"/>
                <w:b/>
                <w:color w:val="FFFFFF"/>
                <w:sz w:val="20"/>
                <w:szCs w:val="20"/>
              </w:rPr>
              <w:t>Assumption and Source</w:t>
            </w:r>
          </w:p>
        </w:tc>
      </w:tr>
      <w:tr w:rsidR="00BC28CE" w:rsidRPr="0063450E" w14:paraId="29FF7DF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3B1408"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color w:val="000000"/>
                <w:sz w:val="20"/>
                <w:szCs w:val="20"/>
              </w:rPr>
              <w:t>Estimated prevalence of GAM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7C6ABE"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15.4%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17F42E" w14:textId="031B1BAA"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xml:space="preserve">January 2023 SMART survey showed a GAM rate </w:t>
            </w:r>
            <w:r w:rsidR="0063450E" w:rsidRPr="0063450E">
              <w:rPr>
                <w:rFonts w:asciiTheme="majorHAnsi" w:eastAsia="DejaVu Sans" w:hAnsiTheme="majorHAnsi" w:cs="DejaVu Sans"/>
                <w:color w:val="000000"/>
                <w:sz w:val="20"/>
                <w:szCs w:val="20"/>
              </w:rPr>
              <w:t>of 15.4</w:t>
            </w:r>
            <w:r w:rsidRPr="0063450E">
              <w:rPr>
                <w:rFonts w:asciiTheme="majorHAnsi" w:eastAsia="DejaVu Sans" w:hAnsiTheme="majorHAnsi" w:cs="DejaVu Sans"/>
                <w:color w:val="000000"/>
                <w:sz w:val="20"/>
                <w:szCs w:val="20"/>
              </w:rPr>
              <w:t xml:space="preserve"> % (12.5 - 18.9 95% C.I.) </w:t>
            </w:r>
            <w:r w:rsidRPr="0063450E">
              <w:rPr>
                <w:rFonts w:asciiTheme="majorHAnsi" w:eastAsia="DejaVu Sans" w:hAnsiTheme="majorHAnsi" w:cs="DejaVu Sans"/>
                <w:color w:val="000000"/>
                <w:sz w:val="20"/>
                <w:szCs w:val="20"/>
              </w:rPr>
              <w:br/>
              <w:t xml:space="preserve">From contextual, (NDMA EWS) and mass screening data it’s showing an improving situation due to improved biophysical, production, </w:t>
            </w:r>
            <w:proofErr w:type="gramStart"/>
            <w:r w:rsidRPr="0063450E">
              <w:rPr>
                <w:rFonts w:asciiTheme="majorHAnsi" w:eastAsia="DejaVu Sans" w:hAnsiTheme="majorHAnsi" w:cs="DejaVu Sans"/>
                <w:color w:val="000000"/>
                <w:sz w:val="20"/>
                <w:szCs w:val="20"/>
              </w:rPr>
              <w:t>access</w:t>
            </w:r>
            <w:proofErr w:type="gramEnd"/>
            <w:r w:rsidRPr="0063450E">
              <w:rPr>
                <w:rFonts w:asciiTheme="majorHAnsi" w:eastAsia="DejaVu Sans" w:hAnsiTheme="majorHAnsi" w:cs="DejaVu Sans"/>
                <w:color w:val="000000"/>
                <w:sz w:val="20"/>
                <w:szCs w:val="20"/>
              </w:rPr>
              <w:t xml:space="preserve"> and utilization indicators.</w:t>
            </w:r>
            <w:r w:rsidRPr="0063450E">
              <w:rPr>
                <w:rFonts w:asciiTheme="majorHAnsi" w:eastAsia="DejaVu Sans" w:hAnsiTheme="majorHAnsi" w:cs="DejaVu Sans"/>
                <w:color w:val="000000"/>
                <w:sz w:val="20"/>
                <w:szCs w:val="20"/>
              </w:rPr>
              <w:br/>
              <w:t>Increase in of diarrhea cases in Nov 2023 might have negated the impact of the rains hence the situation likely to remain the same.</w:t>
            </w:r>
          </w:p>
        </w:tc>
      </w:tr>
      <w:tr w:rsidR="00BC28CE" w:rsidRPr="0063450E" w14:paraId="748E67DC" w14:textId="77777777" w:rsidTr="0063450E">
        <w:trPr>
          <w:trHeight w:val="277"/>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9909D90"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color w:val="000000"/>
                <w:sz w:val="20"/>
                <w:szCs w:val="20"/>
              </w:rPr>
              <w:t>Desired precision</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F96A90"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4.00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79FA91"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xml:space="preserve">This is adjusted in consideration of the rule of thumb based on the anticipated prevalence. </w:t>
            </w:r>
          </w:p>
        </w:tc>
      </w:tr>
      <w:tr w:rsidR="00BC28CE" w:rsidRPr="0063450E" w14:paraId="7DA4411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33654D"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color w:val="000000"/>
                <w:sz w:val="20"/>
                <w:szCs w:val="20"/>
              </w:rPr>
              <w:t>Design effect (DEFF)</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C1F08C"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xml:space="preserve">  1.20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35FFD4"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xml:space="preserve">Adjusted from the previous design effect of 1.02 in the county. This is sufficient to cater for any heterogeneity. </w:t>
            </w:r>
          </w:p>
        </w:tc>
      </w:tr>
      <w:tr w:rsidR="00BC28CE" w:rsidRPr="0063450E" w14:paraId="3884C5CD"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1628187"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b/>
                <w:color w:val="000000"/>
                <w:sz w:val="20"/>
                <w:szCs w:val="20"/>
              </w:rPr>
              <w:t>Children to be included</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B0FCDEA"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b/>
                <w:color w:val="000000"/>
                <w:sz w:val="20"/>
                <w:szCs w:val="20"/>
              </w:rPr>
              <w:t>409.00</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85B7ADB" w14:textId="77777777" w:rsidR="00BC28CE" w:rsidRPr="0063450E" w:rsidRDefault="00BC28CE">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p>
        </w:tc>
      </w:tr>
      <w:tr w:rsidR="00BC28CE" w:rsidRPr="0063450E" w14:paraId="006AFD2E" w14:textId="77777777" w:rsidTr="0063450E">
        <w:trPr>
          <w:trHeight w:val="486"/>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A523AF"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color w:val="000000"/>
                <w:sz w:val="20"/>
                <w:szCs w:val="20"/>
              </w:rPr>
              <w:lastRenderedPageBreak/>
              <w:t>Average household (HH) size</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56E516"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xml:space="preserve">  5.00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9F6823"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Based on the previous SMART Survey (2023) and KNBS Projections (2022)</w:t>
            </w:r>
          </w:p>
        </w:tc>
      </w:tr>
      <w:tr w:rsidR="00BC28CE" w:rsidRPr="0063450E" w14:paraId="06695FC6" w14:textId="77777777" w:rsidTr="0063450E">
        <w:trPr>
          <w:trHeight w:val="381"/>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7F87DB"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color w:val="000000"/>
                <w:sz w:val="20"/>
                <w:szCs w:val="20"/>
              </w:rPr>
              <w:t>% Children 6-59 months</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E8BB499"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14.4%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9C4756"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From KNBS Analytical report on population projections volume XVI.</w:t>
            </w:r>
          </w:p>
        </w:tc>
      </w:tr>
      <w:tr w:rsidR="00BC28CE" w:rsidRPr="0063450E" w14:paraId="01AC8403" w14:textId="77777777" w:rsidTr="0063450E">
        <w:trPr>
          <w:trHeight w:val="276"/>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8BE4E2"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color w:val="000000"/>
                <w:sz w:val="20"/>
                <w:szCs w:val="20"/>
              </w:rPr>
              <w:t>% Non-response rate</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D868AE"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3.0%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34CD16"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color w:val="000000"/>
                <w:sz w:val="20"/>
                <w:szCs w:val="20"/>
              </w:rPr>
              <w:t xml:space="preserve">Based on previous assessments ongoing community mobilization is expected to create awareness of upcoming assessment. Little non-response anticipated </w:t>
            </w:r>
          </w:p>
        </w:tc>
      </w:tr>
      <w:tr w:rsidR="00BC28CE" w:rsidRPr="0063450E" w14:paraId="6DCEF7C9"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2511159"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rPr>
                <w:rFonts w:asciiTheme="majorHAnsi" w:hAnsiTheme="majorHAnsi"/>
              </w:rPr>
            </w:pPr>
            <w:r w:rsidRPr="0063450E">
              <w:rPr>
                <w:rFonts w:asciiTheme="majorHAnsi" w:eastAsia="DejaVu Sans" w:hAnsiTheme="majorHAnsi" w:cs="DejaVu Sans"/>
                <w:b/>
                <w:color w:val="000000"/>
                <w:sz w:val="20"/>
                <w:szCs w:val="20"/>
              </w:rPr>
              <w:t>Households to be included</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B136E43"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b/>
                <w:color w:val="000000"/>
                <w:sz w:val="20"/>
                <w:szCs w:val="20"/>
              </w:rPr>
              <w:t>650.00</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379AC2D" w14:textId="77777777" w:rsidR="00BC28CE" w:rsidRPr="0063450E" w:rsidRDefault="00000000">
            <w:pPr>
              <w:pBdr>
                <w:top w:val="none" w:sz="0" w:space="0" w:color="000000"/>
                <w:left w:val="none" w:sz="0" w:space="0" w:color="000000"/>
                <w:bottom w:val="none" w:sz="0" w:space="0" w:color="000000"/>
                <w:right w:val="none" w:sz="0" w:space="0" w:color="000000"/>
              </w:pBdr>
              <w:spacing w:before="80" w:after="80"/>
              <w:ind w:left="80" w:right="80"/>
              <w:jc w:val="center"/>
              <w:rPr>
                <w:rFonts w:asciiTheme="majorHAnsi" w:hAnsiTheme="majorHAnsi"/>
              </w:rPr>
            </w:pPr>
            <w:r w:rsidRPr="0063450E">
              <w:rPr>
                <w:rFonts w:asciiTheme="majorHAnsi" w:eastAsia="DejaVu Sans" w:hAnsiTheme="majorHAnsi" w:cs="DejaVu Sans"/>
                <w:b/>
                <w:color w:val="000000"/>
                <w:sz w:val="20"/>
                <w:szCs w:val="20"/>
              </w:rPr>
              <w:t>Minimum sample size-Households to be surveyed.</w:t>
            </w:r>
          </w:p>
        </w:tc>
      </w:tr>
    </w:tbl>
    <w:p w14:paraId="3804D820" w14:textId="77777777" w:rsidR="00BC28CE" w:rsidRDefault="00BC28CE"/>
    <w:p w14:paraId="05891BC3" w14:textId="77777777" w:rsidR="00BC28CE" w:rsidRDefault="00000000">
      <w:pPr>
        <w:pStyle w:val="Heading3"/>
      </w:pPr>
      <w:bookmarkStart w:id="43" w:name="sampling-method"/>
      <w:bookmarkEnd w:id="40"/>
      <w:r>
        <w:t>Sampling Method</w:t>
      </w:r>
    </w:p>
    <w:p w14:paraId="6AEACD56" w14:textId="1D148702" w:rsidR="00BC28CE" w:rsidRDefault="0063450E" w:rsidP="0063450E">
      <w:pPr>
        <w:jc w:val="both"/>
      </w:pPr>
      <w:r w:rsidRPr="0063450E">
        <w:t>The survey employed a two-stage cluster sampling approach. In the first stage, clusters were selected using Probability Proportional to Size (PPS), ensuring that larger clusters, representing more densely populated areas, had a higher probability of selection. In the second stage, households were randomly selected within the chosen clusters to participate in the survey</w:t>
      </w:r>
      <w:r w:rsidR="00181DCF">
        <w:t>.</w:t>
      </w:r>
    </w:p>
    <w:p w14:paraId="4CD43961" w14:textId="4DB0D606" w:rsidR="00BC28CE" w:rsidRDefault="00000000">
      <w:pPr>
        <w:pStyle w:val="Heading3"/>
      </w:pPr>
      <w:bookmarkStart w:id="44" w:name="second-stage"/>
      <w:bookmarkEnd w:id="43"/>
      <w:r>
        <w:t>Second Stage Sampling Method</w:t>
      </w:r>
    </w:p>
    <w:p w14:paraId="0B28976D" w14:textId="1233A6AB" w:rsidR="00BC28CE" w:rsidRDefault="0063450E" w:rsidP="0063450E">
      <w:pPr>
        <w:jc w:val="both"/>
      </w:pPr>
      <w:r w:rsidRPr="0063450E">
        <w:t>In the second stage of sampling, simple random sampling was utilized across all selected clusters. This approach was deemed optimal as households within the survey areas were not geometrically ordered. The use of a Random Number Generator (RNG) embedded in the SMART+ mobile application (SMART Collect) facilitated effective and efficient sampling procedures.</w:t>
      </w:r>
    </w:p>
    <w:p w14:paraId="2F45E4D3" w14:textId="77777777" w:rsidR="00BC28CE" w:rsidRDefault="00000000">
      <w:pPr>
        <w:pStyle w:val="Heading3"/>
      </w:pPr>
      <w:bookmarkStart w:id="45" w:name="sampling-procedure"/>
      <w:bookmarkEnd w:id="44"/>
      <w:r>
        <w:t>Sampling Procedure – Cluster Sampling</w:t>
      </w:r>
    </w:p>
    <w:p w14:paraId="2DFC95A9" w14:textId="2A0BEB49" w:rsidR="006F386B" w:rsidRDefault="006F386B" w:rsidP="006F386B">
      <w:pPr>
        <w:jc w:val="both"/>
      </w:pPr>
      <w:r w:rsidRPr="006F386B">
        <w:t>To execute cluster sampling effectively, a comprehensive list of all villages in the county with their respective population sizes was obtained, incorporating household mapping data from 2023 conducted by the Department of Health. Areas to be excluded, such as Gotu, El Dera, and Komu, were omitted from the final sampling frame. The updated sampling frame was then uploaded into the SMART+ application for the selection of 47 clusters and 5 reserve clusters. The reserve clusters were designated to be activated if a minimum of 10% of the sampled clusters were missed or if 80% of the children sample was not achieved. Within each cluster, Simple Random Sampling (SRS) was employed to select 14 households for visitation. All eligible children within the selected households were included in the survey, with age ranges of 6-59 months for anthropometry and 0-23 months for the IYCF survey. In households lacking eligible children, data pertaining to the household were collected. Empty households or those with absent children were revisited at least once before the teams departed the cluster. The outcomes for each selected household were documented in the cluster control form, facilitating easy supervision and follow-up of the survey.</w:t>
      </w:r>
    </w:p>
    <w:p w14:paraId="383767FF" w14:textId="77777777" w:rsidR="00BC28CE" w:rsidRDefault="00000000">
      <w:pPr>
        <w:pStyle w:val="Heading3"/>
      </w:pPr>
      <w:bookmarkStart w:id="46" w:name="X419aafde2b0d7da7675c60cdf557e1063c3d2f1"/>
      <w:bookmarkEnd w:id="45"/>
      <w:r>
        <w:t>Training, Team Composition, and Supervision</w:t>
      </w:r>
    </w:p>
    <w:p w14:paraId="41F75919" w14:textId="020DEAB2" w:rsidR="006F386B" w:rsidRDefault="006F386B" w:rsidP="006F386B">
      <w:pPr>
        <w:jc w:val="both"/>
      </w:pPr>
      <w:r>
        <w:t xml:space="preserve">A total of </w:t>
      </w:r>
      <w:r>
        <w:t>eight</w:t>
      </w:r>
      <w:r>
        <w:t xml:space="preserve"> teams were deployed for the survey, each comprising </w:t>
      </w:r>
      <w:r>
        <w:t>One</w:t>
      </w:r>
      <w:r>
        <w:t xml:space="preserve"> team leader and </w:t>
      </w:r>
      <w:r>
        <w:t>Two</w:t>
      </w:r>
      <w:r>
        <w:t xml:space="preserve"> enumerators. Team leaders were selected from senior staff of the Isiolo County Government, </w:t>
      </w:r>
      <w:r>
        <w:lastRenderedPageBreak/>
        <w:t>while enumerators were current or former nutrition officers</w:t>
      </w:r>
      <w:r>
        <w:t>/volunteers</w:t>
      </w:r>
      <w:r>
        <w:t xml:space="preserve"> from the </w:t>
      </w:r>
      <w:r>
        <w:t>Isiolo</w:t>
      </w:r>
      <w:r>
        <w:t xml:space="preserve"> County Health Department</w:t>
      </w:r>
      <w:r>
        <w:t xml:space="preserve">. </w:t>
      </w:r>
      <w:r>
        <w:t xml:space="preserve">Additionally, supervisors from organizations including </w:t>
      </w:r>
      <w:r w:rsidR="000B16D1">
        <w:t>Action Against Hunger</w:t>
      </w:r>
      <w:r>
        <w:t xml:space="preserve">, </w:t>
      </w:r>
      <w:r w:rsidR="000B16D1">
        <w:t>Isiolo County</w:t>
      </w:r>
      <w:r>
        <w:t>, and the</w:t>
      </w:r>
      <w:r w:rsidR="000B16D1">
        <w:t xml:space="preserve"> newly trained</w:t>
      </w:r>
      <w:r>
        <w:t xml:space="preserve"> SMART</w:t>
      </w:r>
      <w:r w:rsidR="000B16D1">
        <w:t>+</w:t>
      </w:r>
      <w:r>
        <w:t xml:space="preserve"> </w:t>
      </w:r>
      <w:r w:rsidR="000B16D1">
        <w:t>managers</w:t>
      </w:r>
      <w:r>
        <w:t xml:space="preserve"> were involved in overseeing the teams.</w:t>
      </w:r>
    </w:p>
    <w:p w14:paraId="35218EE0" w14:textId="0975923A" w:rsidR="006F386B" w:rsidRDefault="006F386B" w:rsidP="006F386B">
      <w:pPr>
        <w:jc w:val="both"/>
      </w:pPr>
      <w:r>
        <w:t>All team members, including supervisors, underwent a comprehensive five-day training facilitated by the SMART team with support from the Nutrition Information Technical Working Group (NITWG). The training covered various aspects such as sampling methods, anthropometric measurements, interviewing techniques, identification and referral of malnourished children, utilization of the SMART collect tool, and understanding of survey components. A standardization test and pre-test were conducted during the training to ensure consistency and accuracy in data collection.</w:t>
      </w:r>
    </w:p>
    <w:p w14:paraId="4254EEA4" w14:textId="4A063DEF" w:rsidR="00BC28CE" w:rsidRDefault="006F386B" w:rsidP="000B16D1">
      <w:pPr>
        <w:jc w:val="both"/>
      </w:pPr>
      <w:r>
        <w:t>Supervisors were actively engaged throughout the data collection period, with each team receiving dedicated supervision and support for every cluster visited. To enhance data quality, supervisors collectively provided feedback to the teams before each day's data collection. Additionally, meticulous planning of team movements ensured coordinated supervision logistics and cohesive progress across all teams.</w:t>
      </w:r>
    </w:p>
    <w:p w14:paraId="4F53D9C0" w14:textId="77777777" w:rsidR="00BC28CE" w:rsidRDefault="00000000">
      <w:pPr>
        <w:pStyle w:val="Heading3"/>
      </w:pPr>
      <w:bookmarkStart w:id="47" w:name="data-analysis"/>
      <w:bookmarkEnd w:id="46"/>
      <w:r>
        <w:t>Data Analysis</w:t>
      </w:r>
    </w:p>
    <w:p w14:paraId="0100C5E8" w14:textId="75A72FE7" w:rsidR="000B16D1" w:rsidRDefault="000B16D1" w:rsidP="000B16D1">
      <w:pPr>
        <w:jc w:val="both"/>
      </w:pPr>
      <w:r>
        <w:t xml:space="preserve">The survey data collection relied on the SMART collect mobile application, seamlessly integrated into the SMART+ infrastructure. </w:t>
      </w:r>
      <w:r w:rsidR="00BB2FD0" w:rsidRPr="00BB2FD0">
        <w:t>Data entry was conducted by survey enumerators directly into the SMART+ platform, enabling real-time submission of data at the conclusion of each day's collection. The platform facilitated efficient data management, offering survey managers insights into data quality, sample size attainment, and overall completeness</w:t>
      </w:r>
      <w:r>
        <w:t xml:space="preserve">. Quality control mechanisms, including SMART flags for anthropometric analysis, were incorporated to detect and address outliers, such as those exceeding +/- 3 standard deviations from the observed WHZ mean. While </w:t>
      </w:r>
      <w:r w:rsidR="00BB2FD0">
        <w:t xml:space="preserve">some indicators such </w:t>
      </w:r>
      <w:r>
        <w:t>anthropometric</w:t>
      </w:r>
      <w:r w:rsidR="00BB2FD0">
        <w:t>, Food security, IYCF</w:t>
      </w:r>
      <w:r>
        <w:t xml:space="preserve"> analysis w</w:t>
      </w:r>
      <w:r w:rsidR="00BB2FD0">
        <w:t>ere</w:t>
      </w:r>
      <w:r>
        <w:t xml:space="preserve"> conducted within the platform, additional indicators were analyzed using SPSS version 23 for comprehensive data assessment.</w:t>
      </w:r>
    </w:p>
    <w:p w14:paraId="449C96F9" w14:textId="77777777" w:rsidR="00BC28CE" w:rsidRPr="00BB2FD0" w:rsidRDefault="00000000">
      <w:pPr>
        <w:pStyle w:val="Heading1"/>
        <w:rPr>
          <w:i w:val="0"/>
          <w:iCs/>
        </w:rPr>
      </w:pPr>
      <w:bookmarkStart w:id="48" w:name="Xd3ef6ddf86a929dddf78267ec34fb454af6bf62"/>
      <w:bookmarkStart w:id="49" w:name="_Toc161945685"/>
      <w:bookmarkEnd w:id="36"/>
      <w:bookmarkEnd w:id="38"/>
      <w:bookmarkEnd w:id="47"/>
      <w:r w:rsidRPr="00BB2FD0">
        <w:rPr>
          <w:i w:val="0"/>
          <w:iCs/>
        </w:rPr>
        <w:t>Indicators: Definition, Calculations, and Interpretation</w:t>
      </w:r>
      <w:bookmarkEnd w:id="49"/>
    </w:p>
    <w:p w14:paraId="4658B0B0" w14:textId="77777777" w:rsidR="00BC28CE" w:rsidRPr="00BB2FD0" w:rsidRDefault="00000000">
      <w:pPr>
        <w:pStyle w:val="Heading2"/>
        <w:rPr>
          <w:i w:val="0"/>
          <w:iCs/>
        </w:rPr>
      </w:pPr>
      <w:bookmarkStart w:id="50" w:name="overview-of-indicators"/>
      <w:bookmarkStart w:id="51" w:name="_Toc161945686"/>
      <w:r w:rsidRPr="00BB2FD0">
        <w:rPr>
          <w:i w:val="0"/>
          <w:iCs/>
        </w:rPr>
        <w:t>Overview of Indicators</w:t>
      </w:r>
      <w:bookmarkEnd w:id="51"/>
    </w:p>
    <w:p w14:paraId="537F2ECC" w14:textId="786EE02B" w:rsidR="00BC28CE" w:rsidRDefault="00BB2FD0">
      <w:r>
        <w:t xml:space="preserve">The </w:t>
      </w:r>
      <w:r w:rsidRPr="00BB2FD0">
        <w:t xml:space="preserve">Table </w:t>
      </w:r>
      <w:r>
        <w:t xml:space="preserve">below </w:t>
      </w:r>
      <w:r w:rsidRPr="00BB2FD0">
        <w:t>provide</w:t>
      </w:r>
      <w:r>
        <w:t>s</w:t>
      </w:r>
      <w:r w:rsidRPr="00BB2FD0">
        <w:t xml:space="preserve"> an overview of the indicators used in the </w:t>
      </w:r>
      <w:r w:rsidRPr="00BB2FD0">
        <w:t>survey.</w:t>
      </w:r>
    </w:p>
    <w:p w14:paraId="5133204D" w14:textId="77777777" w:rsidR="00BC28CE" w:rsidRDefault="00000000" w:rsidP="00BB2FD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pPr>
      <w:bookmarkStart w:id="52" w:name="_Toc161945713"/>
      <w:r>
        <w:rPr>
          <w:b/>
        </w:rPr>
        <w:t xml:space="preserve">Table </w:t>
      </w:r>
      <w:bookmarkStart w:id="53" w:name="smart-indicators-table"/>
      <w:r>
        <w:rPr>
          <w:b/>
        </w:rPr>
        <w:fldChar w:fldCharType="begin"/>
      </w:r>
      <w:r>
        <w:rPr>
          <w:b/>
        </w:rPr>
        <w:instrText>STYLEREF 1 \r</w:instrText>
      </w:r>
      <w:r w:rsidR="00822E50">
        <w:rPr>
          <w:b/>
        </w:rPr>
        <w:fldChar w:fldCharType="separate"/>
      </w:r>
      <w:r w:rsidR="00822E50">
        <w:rPr>
          <w:b/>
          <w:noProof/>
        </w:rPr>
        <w:t>7</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w:t>
      </w:r>
      <w:r>
        <w:rPr>
          <w:b/>
        </w:rPr>
        <w:fldChar w:fldCharType="end"/>
      </w:r>
      <w:bookmarkEnd w:id="53"/>
      <w:r>
        <w:rPr>
          <w:b/>
        </w:rPr>
        <w:t xml:space="preserve">: </w:t>
      </w:r>
      <w:r>
        <w:t>Standardized Integrated SMART Indicators</w:t>
      </w:r>
      <w:bookmarkEnd w:id="52"/>
    </w:p>
    <w:tbl>
      <w:tblPr>
        <w:tblW w:w="0" w:type="pct"/>
        <w:jc w:val="center"/>
        <w:tblLook w:val="0420" w:firstRow="1" w:lastRow="0" w:firstColumn="0" w:lastColumn="0" w:noHBand="0" w:noVBand="1"/>
      </w:tblPr>
      <w:tblGrid>
        <w:gridCol w:w="7540"/>
        <w:gridCol w:w="1800"/>
      </w:tblGrid>
      <w:tr w:rsidR="00BC28CE" w14:paraId="756CD8E2" w14:textId="77777777">
        <w:trPr>
          <w:tblHeader/>
          <w:jc w:val="center"/>
        </w:trPr>
        <w:tc>
          <w:tcPr>
            <w:tcW w:w="0" w:type="auto"/>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16AFBC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0" w:type="auto"/>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04A821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Target Population</w:t>
            </w:r>
          </w:p>
        </w:tc>
      </w:tr>
      <w:tr w:rsidR="00BC28CE" w14:paraId="2406D6D9" w14:textId="77777777">
        <w:trPr>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BC949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b/>
                <w:color w:val="000000"/>
                <w:sz w:val="20"/>
                <w:szCs w:val="20"/>
              </w:rPr>
              <w:t>Household Indicators</w:t>
            </w:r>
          </w:p>
        </w:tc>
      </w:tr>
      <w:tr w:rsidR="00BC28CE" w14:paraId="30A50133" w14:textId="77777777">
        <w:trPr>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6CF94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b/>
                <w:color w:val="8B4500"/>
                <w:sz w:val="20"/>
                <w:szCs w:val="20"/>
              </w:rPr>
              <w:t>Food Security</w:t>
            </w:r>
          </w:p>
        </w:tc>
      </w:tr>
      <w:tr w:rsidR="00BC28CE" w14:paraId="77E4D4F3"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52BCF87"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Food Consumption Score (FCS)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C54B41"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64DB878D"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CA7467"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lastRenderedPageBreak/>
              <w:t>Reduced Coping Strategy Index (rCSI)</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E04C4B"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1950E53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EC0FCD"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Household Hunger Scale (HHS)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2714AB"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1325EF9A" w14:textId="77777777">
        <w:trPr>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7694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b/>
                <w:color w:val="8B4500"/>
                <w:sz w:val="20"/>
                <w:szCs w:val="20"/>
              </w:rPr>
              <w:t>WASH</w:t>
            </w:r>
          </w:p>
        </w:tc>
      </w:tr>
      <w:tr w:rsidR="00BC28CE" w14:paraId="63C24417"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165B58C"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Access to safe/improved water for drinking and cooking</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F28418"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77D5D71E"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EBB091D"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Household water treatment</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8596072"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7027D507"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1AA94B4"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Access to improved sanitation facilities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17B280"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13049D0E"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3246966"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Access to a handwashing system</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6EC51A2"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7CF5819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09D676"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 xml:space="preserve">Access to </w:t>
            </w:r>
            <w:proofErr w:type="gramStart"/>
            <w:r>
              <w:rPr>
                <w:rFonts w:ascii="DejaVu Sans" w:eastAsia="DejaVu Sans" w:hAnsi="DejaVu Sans" w:cs="DejaVu Sans"/>
                <w:color w:val="000000"/>
                <w:sz w:val="20"/>
                <w:szCs w:val="20"/>
              </w:rPr>
              <w:t>sufficient quantity of</w:t>
            </w:r>
            <w:proofErr w:type="gramEnd"/>
            <w:r>
              <w:rPr>
                <w:rFonts w:ascii="DejaVu Sans" w:eastAsia="DejaVu Sans" w:hAnsi="DejaVu Sans" w:cs="DejaVu Sans"/>
                <w:color w:val="000000"/>
                <w:sz w:val="20"/>
                <w:szCs w:val="20"/>
              </w:rPr>
              <w:t xml:space="preserve"> water</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75456F"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Total population</w:t>
            </w:r>
          </w:p>
        </w:tc>
      </w:tr>
      <w:tr w:rsidR="00BC28CE" w14:paraId="09D2B1B1" w14:textId="77777777">
        <w:trPr>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17AA9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b/>
                <w:color w:val="000000"/>
                <w:sz w:val="20"/>
                <w:szCs w:val="20"/>
              </w:rPr>
              <w:t>Child Indicators</w:t>
            </w:r>
          </w:p>
        </w:tc>
      </w:tr>
      <w:tr w:rsidR="00BC28CE" w14:paraId="5DA8A756"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F78E44"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Anthropometry</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E19C509"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6-59 months</w:t>
            </w:r>
          </w:p>
        </w:tc>
      </w:tr>
      <w:tr w:rsidR="00BC28CE" w14:paraId="044AA24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286982"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Vitamin A supplementation coverage</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645CD7"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6-59 months</w:t>
            </w:r>
          </w:p>
        </w:tc>
      </w:tr>
      <w:tr w:rsidR="00BC28CE" w14:paraId="0410B3AC"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409FDD"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Deworming coverage</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41B6DA"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12-59 months</w:t>
            </w:r>
          </w:p>
        </w:tc>
      </w:tr>
      <w:tr w:rsidR="00BC28CE" w14:paraId="1277FFCB"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FC9853C"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Measles vaccination coverage</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0907AB"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9-59 months</w:t>
            </w:r>
          </w:p>
        </w:tc>
      </w:tr>
      <w:tr w:rsidR="00BC28CE" w14:paraId="3195E66A"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09CCBF7"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Episode of ARI, and care-seeking for children with ARI</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498591"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6-59 months</w:t>
            </w:r>
          </w:p>
        </w:tc>
      </w:tr>
      <w:tr w:rsidR="00BC28CE" w14:paraId="6CC9999C"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B54912"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Episode of diarrhoea, care-seeking for children with diarrhoea, and use of ORS and Zinc during an episode of diarrhoea</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C12C33"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6-59 months</w:t>
            </w:r>
          </w:p>
        </w:tc>
      </w:tr>
      <w:tr w:rsidR="00BC28CE" w14:paraId="008193DD"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D16E3E5"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Episode of fever and care-seeking for children with fever</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318329"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6-59 months</w:t>
            </w:r>
          </w:p>
        </w:tc>
      </w:tr>
      <w:tr w:rsidR="00BC28CE" w14:paraId="7D303EB2"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6124235"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IYCF (</w:t>
            </w:r>
            <w:proofErr w:type="spellStart"/>
            <w:r>
              <w:rPr>
                <w:rFonts w:ascii="DejaVu Sans" w:eastAsia="DejaVu Sans" w:hAnsi="DejaVu Sans" w:cs="DejaVu Sans"/>
                <w:color w:val="000000"/>
                <w:sz w:val="20"/>
                <w:szCs w:val="20"/>
              </w:rPr>
              <w:t>EvBF</w:t>
            </w:r>
            <w:proofErr w:type="spellEnd"/>
            <w:r>
              <w:rPr>
                <w:rFonts w:ascii="DejaVu Sans" w:eastAsia="DejaVu Sans" w:hAnsi="DejaVu Sans" w:cs="DejaVu Sans"/>
                <w:color w:val="000000"/>
                <w:sz w:val="20"/>
                <w:szCs w:val="20"/>
              </w:rPr>
              <w:t xml:space="preserve">, EIBF, EBF2D, EBF, </w:t>
            </w:r>
            <w:proofErr w:type="spellStart"/>
            <w:r>
              <w:rPr>
                <w:rFonts w:ascii="DejaVu Sans" w:eastAsia="DejaVu Sans" w:hAnsi="DejaVu Sans" w:cs="DejaVu Sans"/>
                <w:color w:val="000000"/>
                <w:sz w:val="20"/>
                <w:szCs w:val="20"/>
              </w:rPr>
              <w:t>MixMF</w:t>
            </w:r>
            <w:proofErr w:type="spellEnd"/>
            <w:r>
              <w:rPr>
                <w:rFonts w:ascii="DejaVu Sans" w:eastAsia="DejaVu Sans" w:hAnsi="DejaVu Sans" w:cs="DejaVu Sans"/>
                <w:color w:val="000000"/>
                <w:sz w:val="20"/>
                <w:szCs w:val="20"/>
              </w:rPr>
              <w:t xml:space="preserve">, CBF, ISSSF, MDD, MMF, MMFF, MAD, EFF, </w:t>
            </w:r>
            <w:proofErr w:type="spellStart"/>
            <w:r>
              <w:rPr>
                <w:rFonts w:ascii="DejaVu Sans" w:eastAsia="DejaVu Sans" w:hAnsi="DejaVu Sans" w:cs="DejaVu Sans"/>
                <w:color w:val="000000"/>
                <w:sz w:val="20"/>
                <w:szCs w:val="20"/>
              </w:rPr>
              <w:t>SwB</w:t>
            </w:r>
            <w:proofErr w:type="spellEnd"/>
            <w:r>
              <w:rPr>
                <w:rFonts w:ascii="DejaVu Sans" w:eastAsia="DejaVu Sans" w:hAnsi="DejaVu Sans" w:cs="DejaVu Sans"/>
                <w:color w:val="000000"/>
                <w:sz w:val="20"/>
                <w:szCs w:val="20"/>
              </w:rPr>
              <w:t xml:space="preserve">, UFC, ZVF, </w:t>
            </w:r>
            <w:proofErr w:type="spellStart"/>
            <w:r>
              <w:rPr>
                <w:rFonts w:ascii="DejaVu Sans" w:eastAsia="DejaVu Sans" w:hAnsi="DejaVu Sans" w:cs="DejaVu Sans"/>
                <w:color w:val="000000"/>
                <w:sz w:val="20"/>
                <w:szCs w:val="20"/>
              </w:rPr>
              <w:t>BoF</w:t>
            </w:r>
            <w:proofErr w:type="spellEnd"/>
            <w:r>
              <w:rPr>
                <w:rFonts w:ascii="DejaVu Sans" w:eastAsia="DejaVu Sans" w:hAnsi="DejaVu Sans" w:cs="DejaVu Sans"/>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5829239"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0-24 months</w:t>
            </w:r>
          </w:p>
        </w:tc>
      </w:tr>
      <w:tr w:rsidR="00BC28CE" w14:paraId="07693313" w14:textId="77777777">
        <w:trPr>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EE237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b/>
                <w:color w:val="000000"/>
                <w:sz w:val="20"/>
                <w:szCs w:val="20"/>
              </w:rPr>
              <w:t>Women Indicators</w:t>
            </w:r>
          </w:p>
        </w:tc>
      </w:tr>
      <w:tr w:rsidR="00BC28CE" w14:paraId="0775EDE4"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9D903B7"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pPr>
            <w:r>
              <w:rPr>
                <w:rFonts w:ascii="DejaVu Sans" w:eastAsia="DejaVu Sans" w:hAnsi="DejaVu Sans" w:cs="DejaVu Sans"/>
                <w:color w:val="000000"/>
                <w:sz w:val="20"/>
                <w:szCs w:val="20"/>
              </w:rPr>
              <w:t>Anthropometry (MUAC)</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5707CF0" w14:textId="77777777" w:rsidR="00BC28CE" w:rsidRDefault="00000000">
            <w:pPr>
              <w:pBdr>
                <w:top w:val="none" w:sz="0" w:space="0" w:color="000000"/>
                <w:left w:val="none" w:sz="0" w:space="0" w:color="000000"/>
                <w:bottom w:val="none" w:sz="0" w:space="0" w:color="000000"/>
                <w:right w:val="none" w:sz="0" w:space="0" w:color="000000"/>
              </w:pBdr>
              <w:spacing w:before="80" w:after="80"/>
              <w:ind w:left="300" w:right="80"/>
              <w:jc w:val="center"/>
            </w:pPr>
            <w:r>
              <w:rPr>
                <w:rFonts w:ascii="DejaVu Sans" w:eastAsia="DejaVu Sans" w:hAnsi="DejaVu Sans" w:cs="DejaVu Sans"/>
                <w:color w:val="000000"/>
                <w:sz w:val="20"/>
                <w:szCs w:val="20"/>
              </w:rPr>
              <w:t>15-49 years</w:t>
            </w:r>
          </w:p>
        </w:tc>
      </w:tr>
    </w:tbl>
    <w:p w14:paraId="5233EA1E" w14:textId="77777777" w:rsidR="00BC28CE" w:rsidRPr="00BB2FD0" w:rsidRDefault="00000000">
      <w:pPr>
        <w:pStyle w:val="Heading2"/>
        <w:rPr>
          <w:i w:val="0"/>
          <w:iCs/>
        </w:rPr>
      </w:pPr>
      <w:bookmarkStart w:id="54" w:name="anthropometric-indicators"/>
      <w:bookmarkStart w:id="55" w:name="_Toc161945687"/>
      <w:bookmarkEnd w:id="50"/>
      <w:r w:rsidRPr="00BB2FD0">
        <w:rPr>
          <w:i w:val="0"/>
          <w:iCs/>
        </w:rPr>
        <w:t>Anthropometric Indicators</w:t>
      </w:r>
      <w:bookmarkEnd w:id="55"/>
    </w:p>
    <w:p w14:paraId="0786CDE9" w14:textId="77777777" w:rsidR="00BB2FD0" w:rsidRDefault="00BB2FD0" w:rsidP="00BB2FD0">
      <w:pPr>
        <w:jc w:val="both"/>
      </w:pPr>
      <w:r>
        <w:t>Anthropometric indicators were evaluated utilizing age, weight (kg), height/length (cm), MUAC (mm), and bilateral pitting edema. The measurement procedures and criteria are detailed as follows:</w:t>
      </w:r>
    </w:p>
    <w:p w14:paraId="599623A2" w14:textId="77777777" w:rsidR="00BB2FD0" w:rsidRDefault="00BB2FD0" w:rsidP="00BB2FD0"/>
    <w:p w14:paraId="6FE1DC55" w14:textId="78D343A8" w:rsidR="00BB2FD0" w:rsidRDefault="00BB2FD0" w:rsidP="00134E51">
      <w:pPr>
        <w:pStyle w:val="ListParagraph"/>
        <w:numPr>
          <w:ilvl w:val="0"/>
          <w:numId w:val="39"/>
        </w:numPr>
        <w:jc w:val="both"/>
      </w:pPr>
      <w:r>
        <w:t>Age: Recorded as the date of birth (day/month/year) when documented on official papers like</w:t>
      </w:r>
      <w:r w:rsidRPr="00BB2FD0">
        <w:t>, health or baptismal cards and birth certificates</w:t>
      </w:r>
      <w:r>
        <w:t>. In cases of missing documentation, a local event calendar was used to estimate birth month and year.</w:t>
      </w:r>
    </w:p>
    <w:p w14:paraId="01813912" w14:textId="2F36E895" w:rsidR="00BB2FD0" w:rsidRDefault="00BB2FD0" w:rsidP="00134E51">
      <w:pPr>
        <w:pStyle w:val="ListParagraph"/>
        <w:numPr>
          <w:ilvl w:val="0"/>
          <w:numId w:val="39"/>
        </w:numPr>
        <w:jc w:val="both"/>
      </w:pPr>
      <w:r>
        <w:t>Weight (in kg): Children's weight was measured without clothing to the nearest 100g (0.1 kg) using a SECA electronic scale. Standing children were weighed directly on the scale, while non-standing children were measured using the double-weighing method.</w:t>
      </w:r>
    </w:p>
    <w:p w14:paraId="5711C614" w14:textId="5CB614EA" w:rsidR="00BB2FD0" w:rsidRDefault="00BB2FD0" w:rsidP="00134E51">
      <w:pPr>
        <w:pStyle w:val="ListParagraph"/>
        <w:numPr>
          <w:ilvl w:val="0"/>
          <w:numId w:val="39"/>
        </w:numPr>
        <w:jc w:val="both"/>
      </w:pPr>
      <w:r>
        <w:t>Height/Length (in cm): A measuring board was employed to measure bareheaded and barefoot children with a precision of 0.1 cm. Children under 2 years were measured lying down (length), while those over 2 years were measured standing up (height). Two measurers, assisted by caregivers, conducted each measurement.</w:t>
      </w:r>
    </w:p>
    <w:p w14:paraId="03D43E53" w14:textId="73B786E3" w:rsidR="00BB2FD0" w:rsidRDefault="00BB2FD0" w:rsidP="00134E51">
      <w:pPr>
        <w:pStyle w:val="ListParagraph"/>
        <w:numPr>
          <w:ilvl w:val="0"/>
          <w:numId w:val="39"/>
        </w:numPr>
        <w:jc w:val="both"/>
      </w:pPr>
      <w:r>
        <w:t>Mid-Upper Arm Circumference (MUAC): Measured using a flexible non-elastic tape midway between the tip of the acromion and the tip of the olecranon of the left arm, with the arm hanging freely. MUAC measurements were recorded in millimeters (nearest millimeter precision).</w:t>
      </w:r>
    </w:p>
    <w:p w14:paraId="2CA953C5" w14:textId="685A9A97" w:rsidR="00BC28CE" w:rsidRDefault="00BB2FD0" w:rsidP="00134E51">
      <w:pPr>
        <w:pStyle w:val="ListParagraph"/>
        <w:numPr>
          <w:ilvl w:val="0"/>
          <w:numId w:val="39"/>
        </w:numPr>
        <w:jc w:val="both"/>
      </w:pPr>
      <w:r>
        <w:t xml:space="preserve">Bilateral Pitting Edema: Evaluated by applying moderate thumb pressure on both feet for three seconds. The presence of edema was confirmed if a shallow pit remained after releasing pressure. Only children with bilateral edema were considered positive for nutritional edema, with all cases confirmed by </w:t>
      </w:r>
      <w:r w:rsidR="00134E51">
        <w:t>supervisors.</w:t>
      </w:r>
    </w:p>
    <w:p w14:paraId="76FF825B"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56" w:name="_Toc161945714"/>
      <w:r>
        <w:rPr>
          <w:b/>
        </w:rPr>
        <w:t xml:space="preserve">Table </w:t>
      </w:r>
      <w:bookmarkStart w:id="57" w:name="who-muac-ref"/>
      <w:r>
        <w:rPr>
          <w:b/>
        </w:rPr>
        <w:fldChar w:fldCharType="begin"/>
      </w:r>
      <w:r>
        <w:rPr>
          <w:b/>
        </w:rPr>
        <w:instrText>STYLEREF 1 \r</w:instrText>
      </w:r>
      <w:r w:rsidR="00822E50">
        <w:rPr>
          <w:b/>
        </w:rPr>
        <w:fldChar w:fldCharType="separate"/>
      </w:r>
      <w:r w:rsidR="00822E50">
        <w:rPr>
          <w:b/>
          <w:noProof/>
        </w:rPr>
        <w:t>7</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w:t>
      </w:r>
      <w:r>
        <w:rPr>
          <w:b/>
        </w:rPr>
        <w:fldChar w:fldCharType="end"/>
      </w:r>
      <w:bookmarkEnd w:id="57"/>
      <w:r>
        <w:rPr>
          <w:b/>
        </w:rPr>
        <w:t xml:space="preserve">: </w:t>
      </w:r>
      <w:r>
        <w:t xml:space="preserve">MUAC cut off points for children 6-59 </w:t>
      </w:r>
      <w:proofErr w:type="gramStart"/>
      <w:r>
        <w:t>months</w:t>
      </w:r>
      <w:bookmarkEnd w:id="56"/>
      <w:proofErr w:type="gramEnd"/>
    </w:p>
    <w:tbl>
      <w:tblPr>
        <w:tblW w:w="0" w:type="auto"/>
        <w:jc w:val="center"/>
        <w:tblLayout w:type="fixed"/>
        <w:tblLook w:val="0420" w:firstRow="1" w:lastRow="0" w:firstColumn="0" w:lastColumn="0" w:noHBand="0" w:noVBand="1"/>
      </w:tblPr>
      <w:tblGrid>
        <w:gridCol w:w="3600"/>
        <w:gridCol w:w="5040"/>
      </w:tblGrid>
      <w:tr w:rsidR="00BC28CE" w14:paraId="3FCB30AF" w14:textId="77777777">
        <w:trPr>
          <w:tblHeade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338DC7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Nutritional Status</w:t>
            </w:r>
          </w:p>
        </w:tc>
        <w:tc>
          <w:tcPr>
            <w:tcW w:w="50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76D866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Definition</w:t>
            </w:r>
          </w:p>
        </w:tc>
      </w:tr>
      <w:tr w:rsidR="00BC28CE" w14:paraId="022FF3FF"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1773D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 malnutrition</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C366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125 mm &gt; MUAC</w:t>
            </w:r>
          </w:p>
        </w:tc>
      </w:tr>
      <w:tr w:rsidR="00BC28CE" w14:paraId="4430D0FF"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B0323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Global Acute Malnutrition (GAM)</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68415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125 mm ≤ MUAC</w:t>
            </w:r>
          </w:p>
        </w:tc>
      </w:tr>
      <w:tr w:rsidR="00BC28CE" w14:paraId="7E454ADA"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CEA8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Moderate Acute Malnutrition (MAM)</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25AC0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115 mm ≤ MUAC &lt; 125 mm</w:t>
            </w:r>
          </w:p>
        </w:tc>
      </w:tr>
      <w:tr w:rsidR="00BC28CE" w14:paraId="259057D9"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35583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Severe Acute Malnutrition (SAM)</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B1442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MUAC &lt; 115 mm</w:t>
            </w:r>
          </w:p>
        </w:tc>
      </w:tr>
    </w:tbl>
    <w:p w14:paraId="2D86E4D8" w14:textId="77777777" w:rsidR="00BC28CE" w:rsidRDefault="00000000">
      <w:r>
        <w:br/>
      </w:r>
    </w:p>
    <w:p w14:paraId="2B05F11C"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58" w:name="_Toc161945715"/>
      <w:r>
        <w:rPr>
          <w:b/>
        </w:rPr>
        <w:t xml:space="preserve">Table </w:t>
      </w:r>
      <w:bookmarkStart w:id="59" w:name="who-whz-ref"/>
      <w:r>
        <w:rPr>
          <w:b/>
        </w:rPr>
        <w:fldChar w:fldCharType="begin"/>
      </w:r>
      <w:r>
        <w:rPr>
          <w:b/>
        </w:rPr>
        <w:instrText>STYLEREF 1 \r</w:instrText>
      </w:r>
      <w:r w:rsidR="00822E50">
        <w:rPr>
          <w:b/>
        </w:rPr>
        <w:fldChar w:fldCharType="separate"/>
      </w:r>
      <w:r w:rsidR="00822E50">
        <w:rPr>
          <w:b/>
          <w:noProof/>
        </w:rPr>
        <w:t>7</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6</w:t>
      </w:r>
      <w:r>
        <w:rPr>
          <w:b/>
        </w:rPr>
        <w:fldChar w:fldCharType="end"/>
      </w:r>
      <w:bookmarkEnd w:id="59"/>
      <w:r>
        <w:rPr>
          <w:b/>
        </w:rPr>
        <w:t xml:space="preserve">: </w:t>
      </w:r>
      <w:r>
        <w:t>Cut off points for the WHZ index expressed in Z-score, WHO Standards</w:t>
      </w:r>
      <w:bookmarkEnd w:id="58"/>
    </w:p>
    <w:tbl>
      <w:tblPr>
        <w:tblW w:w="0" w:type="auto"/>
        <w:jc w:val="center"/>
        <w:tblLayout w:type="fixed"/>
        <w:tblLook w:val="0420" w:firstRow="1" w:lastRow="0" w:firstColumn="0" w:lastColumn="0" w:noHBand="0" w:noVBand="1"/>
      </w:tblPr>
      <w:tblGrid>
        <w:gridCol w:w="3600"/>
        <w:gridCol w:w="5040"/>
      </w:tblGrid>
      <w:tr w:rsidR="00BC28CE" w14:paraId="12D0778B" w14:textId="77777777">
        <w:trPr>
          <w:tblHeade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DFF935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Nutritional Status</w:t>
            </w:r>
          </w:p>
        </w:tc>
        <w:tc>
          <w:tcPr>
            <w:tcW w:w="50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0C3639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Definition</w:t>
            </w:r>
          </w:p>
        </w:tc>
      </w:tr>
      <w:tr w:rsidR="00BC28CE" w14:paraId="0A4F5DC9"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86C1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 undernutrition</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B35E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WHZ ≥ -2 and no oedema</w:t>
            </w:r>
          </w:p>
        </w:tc>
      </w:tr>
      <w:tr w:rsidR="00BC28CE" w14:paraId="10C19196"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CDAE0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Global Acute Malnutrition (GAM)</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9928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WHZ &lt; -2 or bilateral oedema (or both)</w:t>
            </w:r>
          </w:p>
        </w:tc>
      </w:tr>
      <w:tr w:rsidR="00BC28CE" w14:paraId="70E2BB9E"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FADF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Moderate Acute Malnutrition (MAM)</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5026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 ≤ WHZ &lt; -2) and absence of bilateral oedema</w:t>
            </w:r>
          </w:p>
        </w:tc>
      </w:tr>
      <w:tr w:rsidR="00BC28CE" w14:paraId="12375987"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5448D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Severe Acute Malnutrition (SAM)</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F9AB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WHZ &lt; -3 or bilateral oedema (or both)</w:t>
            </w:r>
          </w:p>
        </w:tc>
      </w:tr>
      <w:tr w:rsidR="00BC28CE" w14:paraId="3ED76D96"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725C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Overweight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43EC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WHZ &gt; 2 and no oedema</w:t>
            </w:r>
          </w:p>
        </w:tc>
      </w:tr>
      <w:tr w:rsidR="00BC28CE" w14:paraId="4204E6BE"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993F7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Moderate overweight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8B95F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 &lt; WHZ ≤ 3) and no oedema</w:t>
            </w:r>
          </w:p>
        </w:tc>
      </w:tr>
      <w:tr w:rsidR="00BC28CE" w14:paraId="06F90DDE"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14E1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lastRenderedPageBreak/>
              <w:t>Severe overweight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2B8E2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WHZ ≥ 3 and no oedema</w:t>
            </w:r>
          </w:p>
        </w:tc>
      </w:tr>
    </w:tbl>
    <w:p w14:paraId="1B95AAC2" w14:textId="77777777" w:rsidR="00BC28CE" w:rsidRDefault="00000000">
      <w:r>
        <w:br/>
      </w:r>
    </w:p>
    <w:p w14:paraId="57C4954A"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60" w:name="_Toc161945716"/>
      <w:r>
        <w:rPr>
          <w:b/>
        </w:rPr>
        <w:t xml:space="preserve">Table </w:t>
      </w:r>
      <w:bookmarkStart w:id="61" w:name="who-haz-ref"/>
      <w:r>
        <w:rPr>
          <w:b/>
        </w:rPr>
        <w:fldChar w:fldCharType="begin"/>
      </w:r>
      <w:r>
        <w:rPr>
          <w:b/>
        </w:rPr>
        <w:instrText>STYLEREF 1 \r</w:instrText>
      </w:r>
      <w:r w:rsidR="00822E50">
        <w:rPr>
          <w:b/>
        </w:rPr>
        <w:fldChar w:fldCharType="separate"/>
      </w:r>
      <w:r w:rsidR="00822E50">
        <w:rPr>
          <w:b/>
          <w:noProof/>
        </w:rPr>
        <w:t>7</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7</w:t>
      </w:r>
      <w:r>
        <w:rPr>
          <w:b/>
        </w:rPr>
        <w:fldChar w:fldCharType="end"/>
      </w:r>
      <w:bookmarkEnd w:id="61"/>
      <w:r>
        <w:rPr>
          <w:b/>
        </w:rPr>
        <w:t xml:space="preserve">: </w:t>
      </w:r>
      <w:r>
        <w:t>Cut off points for the HAZ index expressed in Z-score, WHO Standards</w:t>
      </w:r>
      <w:bookmarkEnd w:id="60"/>
    </w:p>
    <w:tbl>
      <w:tblPr>
        <w:tblW w:w="0" w:type="auto"/>
        <w:jc w:val="center"/>
        <w:tblLayout w:type="fixed"/>
        <w:tblLook w:val="0420" w:firstRow="1" w:lastRow="0" w:firstColumn="0" w:lastColumn="0" w:noHBand="0" w:noVBand="1"/>
      </w:tblPr>
      <w:tblGrid>
        <w:gridCol w:w="3600"/>
        <w:gridCol w:w="5040"/>
      </w:tblGrid>
      <w:tr w:rsidR="00BC28CE" w14:paraId="60664775" w14:textId="77777777">
        <w:trPr>
          <w:tblHeade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2BA0164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Nutritional Status</w:t>
            </w:r>
          </w:p>
        </w:tc>
        <w:tc>
          <w:tcPr>
            <w:tcW w:w="50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7840FF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Definition</w:t>
            </w:r>
          </w:p>
        </w:tc>
      </w:tr>
      <w:tr w:rsidR="00BC28CE" w14:paraId="12AC2A92"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D038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Not stunted</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17873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HAZ ≥ -2</w:t>
            </w:r>
          </w:p>
        </w:tc>
      </w:tr>
      <w:tr w:rsidR="00BC28CE" w14:paraId="4B1DC384"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E9DC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Stunted</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C5EC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HAZ &lt; -2</w:t>
            </w:r>
          </w:p>
        </w:tc>
      </w:tr>
      <w:tr w:rsidR="00BC28CE" w14:paraId="5A8C7EA5"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E26C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Moderate stunting</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77C9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 ≤ HAZ &lt; -2</w:t>
            </w:r>
          </w:p>
        </w:tc>
      </w:tr>
      <w:tr w:rsidR="00BC28CE" w14:paraId="50314ED0"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E35F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Severe stunting</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CCD5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HAZ &lt; -3</w:t>
            </w:r>
          </w:p>
        </w:tc>
      </w:tr>
    </w:tbl>
    <w:p w14:paraId="0EA96B84" w14:textId="77777777" w:rsidR="00BC28CE" w:rsidRDefault="00000000">
      <w:r>
        <w:br/>
      </w:r>
    </w:p>
    <w:p w14:paraId="148E544A"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62" w:name="_Toc161945717"/>
      <w:r>
        <w:rPr>
          <w:b/>
        </w:rPr>
        <w:t xml:space="preserve">Table </w:t>
      </w:r>
      <w:bookmarkStart w:id="63" w:name="who-waz-ref"/>
      <w:r>
        <w:rPr>
          <w:b/>
        </w:rPr>
        <w:fldChar w:fldCharType="begin"/>
      </w:r>
      <w:r>
        <w:rPr>
          <w:b/>
        </w:rPr>
        <w:instrText>STYLEREF 1 \r</w:instrText>
      </w:r>
      <w:r w:rsidR="00822E50">
        <w:rPr>
          <w:b/>
        </w:rPr>
        <w:fldChar w:fldCharType="separate"/>
      </w:r>
      <w:r w:rsidR="00822E50">
        <w:rPr>
          <w:b/>
          <w:noProof/>
        </w:rPr>
        <w:t>7</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8</w:t>
      </w:r>
      <w:r>
        <w:rPr>
          <w:b/>
        </w:rPr>
        <w:fldChar w:fldCharType="end"/>
      </w:r>
      <w:bookmarkEnd w:id="63"/>
      <w:r>
        <w:rPr>
          <w:b/>
        </w:rPr>
        <w:t xml:space="preserve">: </w:t>
      </w:r>
      <w:r>
        <w:t>Cut off points for WAZ Index expressed in Z-scores, WHO Standards</w:t>
      </w:r>
      <w:bookmarkEnd w:id="62"/>
    </w:p>
    <w:tbl>
      <w:tblPr>
        <w:tblW w:w="0" w:type="auto"/>
        <w:jc w:val="center"/>
        <w:tblLayout w:type="fixed"/>
        <w:tblLook w:val="0420" w:firstRow="1" w:lastRow="0" w:firstColumn="0" w:lastColumn="0" w:noHBand="0" w:noVBand="1"/>
      </w:tblPr>
      <w:tblGrid>
        <w:gridCol w:w="3600"/>
        <w:gridCol w:w="5040"/>
      </w:tblGrid>
      <w:tr w:rsidR="00BC28CE" w14:paraId="15D33F20" w14:textId="77777777">
        <w:trPr>
          <w:tblHeade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3444A3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Nutritional Status</w:t>
            </w:r>
          </w:p>
        </w:tc>
        <w:tc>
          <w:tcPr>
            <w:tcW w:w="50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DE0D83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Definition</w:t>
            </w:r>
          </w:p>
        </w:tc>
      </w:tr>
      <w:tr w:rsidR="00BC28CE" w14:paraId="0DB3B053"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29683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Not underweight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39106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WHZ ≥ -2</w:t>
            </w:r>
          </w:p>
        </w:tc>
      </w:tr>
      <w:tr w:rsidR="00BC28CE" w14:paraId="74244D66"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8026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Global underweight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5AD8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WAZ &lt; -2</w:t>
            </w:r>
          </w:p>
        </w:tc>
      </w:tr>
      <w:tr w:rsidR="00BC28CE" w14:paraId="65A5E211"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BA49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Moderate underweight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A0A3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 ≤ WAZ &lt; -2</w:t>
            </w:r>
          </w:p>
        </w:tc>
      </w:tr>
      <w:tr w:rsidR="00BC28CE" w14:paraId="4D49B27E" w14:textId="77777777">
        <w:trPr>
          <w:jc w:val="center"/>
        </w:trPr>
        <w:tc>
          <w:tcPr>
            <w:tcW w:w="360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DE94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Severe underweight</w:t>
            </w:r>
          </w:p>
        </w:tc>
        <w:tc>
          <w:tcPr>
            <w:tcW w:w="50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EA08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WAZ &lt; -3</w:t>
            </w:r>
          </w:p>
        </w:tc>
      </w:tr>
    </w:tbl>
    <w:p w14:paraId="1F51726D" w14:textId="69558BFE" w:rsidR="00BC28CE" w:rsidRDefault="00BC28CE"/>
    <w:p w14:paraId="129F9398" w14:textId="2A4B364E" w:rsidR="00BC28CE" w:rsidRPr="00134E51" w:rsidRDefault="00000000">
      <w:pPr>
        <w:pStyle w:val="Heading2"/>
        <w:rPr>
          <w:i w:val="0"/>
          <w:iCs/>
        </w:rPr>
      </w:pPr>
      <w:bookmarkStart w:id="64" w:name="Xdab27201cbb4b9cc2358f72e28ab0af337d29ad"/>
      <w:bookmarkStart w:id="65" w:name="_Toc161945688"/>
      <w:bookmarkEnd w:id="54"/>
      <w:r w:rsidRPr="00134E51">
        <w:rPr>
          <w:i w:val="0"/>
          <w:iCs/>
        </w:rPr>
        <w:t>Other Indicators</w:t>
      </w:r>
      <w:bookmarkEnd w:id="65"/>
    </w:p>
    <w:p w14:paraId="42EFC9BB" w14:textId="77777777" w:rsidR="00134E51" w:rsidRPr="00134E51" w:rsidRDefault="00134E51" w:rsidP="00134E51">
      <w:pPr>
        <w:keepNext/>
        <w:keepLines/>
        <w:numPr>
          <w:ilvl w:val="2"/>
          <w:numId w:val="13"/>
        </w:numPr>
        <w:spacing w:before="40"/>
        <w:outlineLvl w:val="2"/>
        <w:rPr>
          <w:rFonts w:asciiTheme="majorHAnsi" w:eastAsiaTheme="majorEastAsia" w:hAnsiTheme="majorHAnsi" w:cstheme="majorBidi"/>
          <w:iCs/>
          <w:color w:val="EE7203" w:themeColor="accent1"/>
        </w:rPr>
      </w:pPr>
      <w:bookmarkStart w:id="66" w:name="questionnaire"/>
      <w:bookmarkStart w:id="67" w:name="_Toc161945689"/>
      <w:bookmarkEnd w:id="48"/>
      <w:bookmarkEnd w:id="64"/>
      <w:r w:rsidRPr="00134E51">
        <w:rPr>
          <w:rFonts w:asciiTheme="majorHAnsi" w:eastAsiaTheme="majorEastAsia" w:hAnsiTheme="majorHAnsi" w:cstheme="majorBidi"/>
          <w:color w:val="EE7203" w:themeColor="accent1"/>
        </w:rPr>
        <w:t xml:space="preserve">Food Security </w:t>
      </w:r>
    </w:p>
    <w:p w14:paraId="041ADCD6" w14:textId="77777777" w:rsidR="00134E51" w:rsidRPr="00134E51" w:rsidRDefault="00134E51" w:rsidP="00134E51">
      <w:pPr>
        <w:jc w:val="both"/>
        <w:rPr>
          <w:color w:val="000000" w:themeColor="text1"/>
        </w:rPr>
      </w:pPr>
      <w:r w:rsidRPr="00134E51">
        <w:rPr>
          <w:color w:val="000000" w:themeColor="text1"/>
        </w:rPr>
        <w:t xml:space="preserve">Additional indicators relating to food security are described below: </w:t>
      </w:r>
    </w:p>
    <w:p w14:paraId="15969F50" w14:textId="77777777" w:rsidR="00134E51" w:rsidRPr="00134E51" w:rsidRDefault="00134E51" w:rsidP="00134E51">
      <w:pPr>
        <w:numPr>
          <w:ilvl w:val="0"/>
          <w:numId w:val="40"/>
        </w:numPr>
        <w:spacing w:before="0" w:after="160" w:line="276" w:lineRule="auto"/>
        <w:ind w:right="402"/>
        <w:contextualSpacing/>
        <w:jc w:val="both"/>
        <w:rPr>
          <w:color w:val="000000" w:themeColor="text1"/>
        </w:rPr>
      </w:pPr>
      <w:r w:rsidRPr="00134E51">
        <w:rPr>
          <w:b/>
          <w:bCs/>
          <w:color w:val="000000" w:themeColor="text1"/>
        </w:rPr>
        <w:t>Reduced Coping Strategy Index (rCSI)</w:t>
      </w:r>
      <w:r w:rsidRPr="00134E51">
        <w:rPr>
          <w:color w:val="000000" w:themeColor="text1"/>
        </w:rPr>
        <w:t xml:space="preserve"> measures how households manage or cope with reduced access to food. It is a proxy indicator for household food access and helps to identify those who are most vulnerable in a community. The index is based on a list of five coping strategies applied seven days before the survey and combines the frequency of each and their severity. Each coping strategy has a universal severity weight applied to the final score. Though there is no universal threshold for the rCSI, the higher the rCSI, the more severe the coping is in a household. A score of 0-15 indicates low coping, 16-40 indicates medium coping, and 41 or higher indicates high coping.</w:t>
      </w:r>
      <w:r w:rsidRPr="00134E51">
        <w:rPr>
          <w:rFonts w:cs="Times New Roman"/>
          <w:color w:val="000000" w:themeColor="text1"/>
          <w:vertAlign w:val="superscript"/>
        </w:rPr>
        <w:footnoteReference w:id="2"/>
      </w:r>
    </w:p>
    <w:p w14:paraId="4E6A81ED" w14:textId="77777777" w:rsidR="00134E51" w:rsidRPr="00134E51" w:rsidRDefault="00134E51" w:rsidP="00134E51">
      <w:pPr>
        <w:numPr>
          <w:ilvl w:val="0"/>
          <w:numId w:val="40"/>
        </w:numPr>
        <w:ind w:right="402"/>
        <w:contextualSpacing/>
        <w:jc w:val="both"/>
        <w:rPr>
          <w:color w:val="000000" w:themeColor="text1"/>
        </w:rPr>
      </w:pPr>
      <w:r w:rsidRPr="00134E51">
        <w:rPr>
          <w:b/>
          <w:bCs/>
          <w:color w:val="000000" w:themeColor="text1"/>
        </w:rPr>
        <w:lastRenderedPageBreak/>
        <w:t>Household Hunger Scale (HHS)</w:t>
      </w:r>
      <w:r w:rsidRPr="00134E51">
        <w:rPr>
          <w:color w:val="000000" w:themeColor="text1"/>
        </w:rPr>
        <w:t xml:space="preserve"> is a food deprivation scale. It is built around three questions about the perceptions of a household on varying degrees of hunger by the number of times a household has experienced hunger within the 30 days prior to the survey. A score of 0-1 is categorized as “little or no hunger”, a score of 2-3 as “moderate hunger”, and a score of 4-6 as “severe hunger”.</w:t>
      </w:r>
      <w:r w:rsidRPr="00134E51">
        <w:rPr>
          <w:rFonts w:cs="Times New Roman"/>
          <w:color w:val="000000" w:themeColor="text1"/>
          <w:vertAlign w:val="superscript"/>
        </w:rPr>
        <w:footnoteReference w:id="3"/>
      </w:r>
    </w:p>
    <w:p w14:paraId="67072DF9" w14:textId="77777777" w:rsidR="00134E51" w:rsidRPr="00134E51" w:rsidRDefault="00134E51" w:rsidP="00134E51">
      <w:pPr>
        <w:numPr>
          <w:ilvl w:val="0"/>
          <w:numId w:val="40"/>
        </w:numPr>
        <w:ind w:right="436"/>
        <w:contextualSpacing/>
        <w:jc w:val="both"/>
        <w:rPr>
          <w:color w:val="000000" w:themeColor="text1"/>
        </w:rPr>
      </w:pPr>
      <w:r w:rsidRPr="00134E51">
        <w:rPr>
          <w:b/>
          <w:bCs/>
          <w:color w:val="000000" w:themeColor="text1"/>
        </w:rPr>
        <w:t xml:space="preserve">Food Consumption Score (FCS) </w:t>
      </w:r>
      <w:r w:rsidRPr="00134E51">
        <w:rPr>
          <w:color w:val="000000" w:themeColor="text1"/>
        </w:rPr>
        <w:t>is a composite score of dietary diversity, food frequency, and relative nutritional importance of different food groups. It represents households' dietary diversity and nutrient intake. The FCS was calculated from households’ consumption of different food groups in the seven days before the survey. A score of 0-21 was considered poor, 21.5-35 is borderline and above 35 is an acceptable consumption score.</w:t>
      </w:r>
      <w:r w:rsidRPr="00134E51">
        <w:rPr>
          <w:color w:val="000000" w:themeColor="text1"/>
          <w:vertAlign w:val="superscript"/>
        </w:rPr>
        <w:footnoteReference w:id="4"/>
      </w:r>
    </w:p>
    <w:p w14:paraId="197B913C" w14:textId="77777777" w:rsidR="00134E51" w:rsidRPr="00134E51" w:rsidRDefault="00134E51" w:rsidP="00134E51">
      <w:pPr>
        <w:jc w:val="both"/>
        <w:rPr>
          <w:color w:val="000000" w:themeColor="text1"/>
        </w:rPr>
      </w:pPr>
    </w:p>
    <w:p w14:paraId="347F743A" w14:textId="77777777" w:rsidR="00134E51" w:rsidRPr="00134E51" w:rsidRDefault="00134E51" w:rsidP="00134E51">
      <w:pPr>
        <w:keepNext/>
        <w:keepLines/>
        <w:numPr>
          <w:ilvl w:val="2"/>
          <w:numId w:val="13"/>
        </w:numPr>
        <w:spacing w:before="40"/>
        <w:jc w:val="both"/>
        <w:outlineLvl w:val="2"/>
        <w:rPr>
          <w:rFonts w:asciiTheme="majorHAnsi" w:eastAsiaTheme="majorEastAsia" w:hAnsiTheme="majorHAnsi" w:cstheme="majorBidi"/>
          <w:iCs/>
          <w:color w:val="EE7203" w:themeColor="accent1"/>
        </w:rPr>
      </w:pPr>
      <w:r w:rsidRPr="00134E51">
        <w:rPr>
          <w:rFonts w:asciiTheme="majorHAnsi" w:eastAsiaTheme="majorEastAsia" w:hAnsiTheme="majorHAnsi" w:cstheme="majorBidi"/>
          <w:color w:val="EE7203" w:themeColor="accent1"/>
        </w:rPr>
        <w:t>Water, sanitation, and hygiene</w:t>
      </w:r>
    </w:p>
    <w:p w14:paraId="189AAF36" w14:textId="77777777" w:rsidR="00134E51" w:rsidRPr="00134E51" w:rsidRDefault="00134E51" w:rsidP="00134E51">
      <w:pPr>
        <w:ind w:right="436"/>
        <w:jc w:val="both"/>
        <w:rPr>
          <w:color w:val="000000" w:themeColor="text1"/>
        </w:rPr>
      </w:pPr>
      <w:r w:rsidRPr="00134E51">
        <w:rPr>
          <w:color w:val="000000" w:themeColor="text1"/>
        </w:rPr>
        <w:t xml:space="preserve">Additional indicators relating to water, sanitation, and hygiene (WASH) are detailed below: </w:t>
      </w:r>
    </w:p>
    <w:p w14:paraId="014071CE" w14:textId="77777777" w:rsidR="00134E51" w:rsidRPr="00134E51" w:rsidRDefault="00134E51" w:rsidP="00134E51">
      <w:pPr>
        <w:numPr>
          <w:ilvl w:val="0"/>
          <w:numId w:val="41"/>
        </w:numPr>
        <w:spacing w:before="0" w:after="0"/>
        <w:ind w:right="436"/>
        <w:contextualSpacing/>
        <w:jc w:val="both"/>
        <w:rPr>
          <w:color w:val="000000" w:themeColor="text1"/>
        </w:rPr>
      </w:pPr>
      <w:r w:rsidRPr="00134E51">
        <w:rPr>
          <w:b/>
          <w:bCs/>
          <w:color w:val="000000" w:themeColor="text1"/>
        </w:rPr>
        <w:t>Access to safe/improved water for drinking and cooking:</w:t>
      </w:r>
      <w:r w:rsidRPr="00134E51">
        <w:rPr>
          <w:color w:val="000000" w:themeColor="text1"/>
        </w:rPr>
        <w:t xml:space="preserve"> Percentage of households with access to safe/improved water for drinking and cooking.</w:t>
      </w:r>
    </w:p>
    <w:p w14:paraId="205A8E61" w14:textId="77777777" w:rsidR="00134E51" w:rsidRPr="00134E51" w:rsidRDefault="00134E51" w:rsidP="00134E51">
      <w:pPr>
        <w:numPr>
          <w:ilvl w:val="0"/>
          <w:numId w:val="41"/>
        </w:numPr>
        <w:spacing w:before="0" w:after="0"/>
        <w:ind w:right="436"/>
        <w:contextualSpacing/>
        <w:jc w:val="both"/>
        <w:rPr>
          <w:rFonts w:eastAsia="Arial" w:cs="Arial"/>
          <w:b/>
          <w:bCs/>
          <w:color w:val="000000" w:themeColor="text1"/>
        </w:rPr>
      </w:pPr>
      <w:r w:rsidRPr="00134E51">
        <w:rPr>
          <w:b/>
          <w:bCs/>
          <w:color w:val="000000" w:themeColor="text1"/>
        </w:rPr>
        <w:t>Household water treatment</w:t>
      </w:r>
      <w:r w:rsidRPr="00134E51">
        <w:rPr>
          <w:color w:val="000000" w:themeColor="text1"/>
        </w:rPr>
        <w:t>: Percentage of households practicing household water treatment.</w:t>
      </w:r>
    </w:p>
    <w:p w14:paraId="4D14EEF6" w14:textId="77777777" w:rsidR="00134E51" w:rsidRPr="00134E51" w:rsidRDefault="00134E51" w:rsidP="00134E51">
      <w:pPr>
        <w:numPr>
          <w:ilvl w:val="0"/>
          <w:numId w:val="41"/>
        </w:numPr>
        <w:spacing w:before="0" w:after="0"/>
        <w:ind w:right="436"/>
        <w:contextualSpacing/>
        <w:jc w:val="both"/>
        <w:rPr>
          <w:color w:val="000000" w:themeColor="text1"/>
        </w:rPr>
      </w:pPr>
      <w:r w:rsidRPr="00134E51">
        <w:rPr>
          <w:b/>
          <w:bCs/>
          <w:color w:val="000000" w:themeColor="text1"/>
        </w:rPr>
        <w:t>Access to improved sanitation facilities</w:t>
      </w:r>
      <w:r w:rsidRPr="00134E51">
        <w:rPr>
          <w:color w:val="000000" w:themeColor="text1"/>
        </w:rPr>
        <w:t xml:space="preserve">: Percentage of households with access to improved sanitation facilities. </w:t>
      </w:r>
    </w:p>
    <w:p w14:paraId="372042E6" w14:textId="77777777" w:rsidR="00134E51" w:rsidRPr="00134E51" w:rsidRDefault="00134E51" w:rsidP="00134E51">
      <w:pPr>
        <w:numPr>
          <w:ilvl w:val="0"/>
          <w:numId w:val="41"/>
        </w:numPr>
        <w:spacing w:before="0" w:after="0"/>
        <w:ind w:right="436"/>
        <w:contextualSpacing/>
        <w:jc w:val="both"/>
        <w:rPr>
          <w:color w:val="000000" w:themeColor="text1"/>
        </w:rPr>
      </w:pPr>
      <w:r w:rsidRPr="00134E51">
        <w:rPr>
          <w:b/>
          <w:bCs/>
          <w:color w:val="000000" w:themeColor="text1"/>
        </w:rPr>
        <w:t>Access to a handwashing system</w:t>
      </w:r>
      <w:r w:rsidRPr="00134E51">
        <w:rPr>
          <w:color w:val="000000" w:themeColor="text1"/>
        </w:rPr>
        <w:t>: Percentage of households with access to a handwashing system.</w:t>
      </w:r>
    </w:p>
    <w:p w14:paraId="6BB34685" w14:textId="77777777" w:rsidR="00134E51" w:rsidRPr="00621192" w:rsidRDefault="00134E51" w:rsidP="00134E51">
      <w:pPr>
        <w:numPr>
          <w:ilvl w:val="0"/>
          <w:numId w:val="41"/>
        </w:numPr>
        <w:spacing w:before="0" w:after="0"/>
        <w:ind w:right="436"/>
        <w:contextualSpacing/>
        <w:jc w:val="both"/>
        <w:rPr>
          <w:b/>
          <w:bCs/>
          <w:color w:val="000000" w:themeColor="text1"/>
        </w:rPr>
      </w:pPr>
      <w:r w:rsidRPr="00134E51">
        <w:rPr>
          <w:b/>
          <w:bCs/>
          <w:color w:val="000000" w:themeColor="text1"/>
        </w:rPr>
        <w:t xml:space="preserve">Access to </w:t>
      </w:r>
      <w:proofErr w:type="gramStart"/>
      <w:r w:rsidRPr="00134E51">
        <w:rPr>
          <w:b/>
          <w:bCs/>
          <w:color w:val="000000" w:themeColor="text1"/>
        </w:rPr>
        <w:t>a sufficient quantity of</w:t>
      </w:r>
      <w:proofErr w:type="gramEnd"/>
      <w:r w:rsidRPr="00134E51">
        <w:rPr>
          <w:b/>
          <w:bCs/>
          <w:color w:val="000000" w:themeColor="text1"/>
        </w:rPr>
        <w:t xml:space="preserve"> water: </w:t>
      </w:r>
      <w:r w:rsidRPr="00134E51">
        <w:rPr>
          <w:color w:val="000000" w:themeColor="text1"/>
        </w:rPr>
        <w:t>Average # L/p/d of domestic water collected at the household level, from protected/treated sources with containers of any type as well as with protected containers only. The percentage of households that use domestic water collected from protected/treated sources with protected containers only.</w:t>
      </w:r>
    </w:p>
    <w:p w14:paraId="5372F3A3" w14:textId="2F533FD7" w:rsidR="00621192" w:rsidRDefault="00621192" w:rsidP="00134E51">
      <w:pPr>
        <w:numPr>
          <w:ilvl w:val="0"/>
          <w:numId w:val="41"/>
        </w:numPr>
        <w:spacing w:before="0" w:after="0"/>
        <w:ind w:right="436"/>
        <w:contextualSpacing/>
        <w:jc w:val="both"/>
        <w:rPr>
          <w:color w:val="000000" w:themeColor="text1"/>
        </w:rPr>
      </w:pPr>
      <w:r w:rsidRPr="00621192">
        <w:rPr>
          <w:b/>
          <w:bCs/>
          <w:color w:val="000000" w:themeColor="text1"/>
        </w:rPr>
        <w:t>Distance to Water Source</w:t>
      </w:r>
      <w:r>
        <w:rPr>
          <w:b/>
          <w:bCs/>
          <w:color w:val="000000" w:themeColor="text1"/>
        </w:rPr>
        <w:t xml:space="preserve">: </w:t>
      </w:r>
      <w:r>
        <w:rPr>
          <w:color w:val="000000" w:themeColor="text1"/>
        </w:rPr>
        <w:t>A</w:t>
      </w:r>
      <w:r w:rsidRPr="00621192">
        <w:rPr>
          <w:color w:val="000000" w:themeColor="text1"/>
        </w:rPr>
        <w:t>verage time required to reach the water source, collect water (including queuing), and bring it back home</w:t>
      </w:r>
      <w:r>
        <w:rPr>
          <w:color w:val="000000" w:themeColor="text1"/>
        </w:rPr>
        <w:t>.</w:t>
      </w:r>
    </w:p>
    <w:p w14:paraId="45722D93" w14:textId="3B6D719F" w:rsidR="00621192" w:rsidRPr="00134E51" w:rsidRDefault="00621192" w:rsidP="00134E51">
      <w:pPr>
        <w:numPr>
          <w:ilvl w:val="0"/>
          <w:numId w:val="41"/>
        </w:numPr>
        <w:spacing w:before="0" w:after="0"/>
        <w:ind w:right="436"/>
        <w:contextualSpacing/>
        <w:jc w:val="both"/>
        <w:rPr>
          <w:color w:val="000000" w:themeColor="text1"/>
        </w:rPr>
      </w:pPr>
      <w:r w:rsidRPr="00621192">
        <w:rPr>
          <w:b/>
          <w:bCs/>
          <w:color w:val="000000" w:themeColor="text1"/>
        </w:rPr>
        <w:t>Hand Washing Practice</w:t>
      </w:r>
      <w:r w:rsidRPr="00621192">
        <w:rPr>
          <w:b/>
          <w:bCs/>
          <w:color w:val="000000" w:themeColor="text1"/>
        </w:rPr>
        <w:t>:</w:t>
      </w:r>
      <w:r>
        <w:rPr>
          <w:color w:val="000000" w:themeColor="text1"/>
        </w:rPr>
        <w:t xml:space="preserve"> </w:t>
      </w:r>
      <w:r w:rsidRPr="00621192">
        <w:rPr>
          <w:color w:val="000000" w:themeColor="text1"/>
        </w:rPr>
        <w:t xml:space="preserve">Percentage of respondents who washed their hands with soap or ash before or after their last critical </w:t>
      </w:r>
      <w:r w:rsidRPr="00621192">
        <w:rPr>
          <w:color w:val="000000" w:themeColor="text1"/>
        </w:rPr>
        <w:t>occasion.</w:t>
      </w:r>
    </w:p>
    <w:p w14:paraId="57A55BC5" w14:textId="77777777" w:rsidR="00134E51" w:rsidRPr="00134E51" w:rsidRDefault="00134E51" w:rsidP="00134E51">
      <w:pPr>
        <w:ind w:left="720"/>
        <w:contextualSpacing/>
        <w:jc w:val="both"/>
        <w:rPr>
          <w:b/>
          <w:bCs/>
          <w:color w:val="000000" w:themeColor="text1"/>
        </w:rPr>
      </w:pPr>
    </w:p>
    <w:p w14:paraId="7DBE6D5A" w14:textId="77777777" w:rsidR="00134E51" w:rsidRPr="00134E51" w:rsidRDefault="00134E51" w:rsidP="00134E51">
      <w:pPr>
        <w:keepNext/>
        <w:keepLines/>
        <w:numPr>
          <w:ilvl w:val="2"/>
          <w:numId w:val="13"/>
        </w:numPr>
        <w:spacing w:before="40"/>
        <w:jc w:val="both"/>
        <w:outlineLvl w:val="2"/>
        <w:rPr>
          <w:rFonts w:asciiTheme="majorHAnsi" w:eastAsiaTheme="majorEastAsia" w:hAnsiTheme="majorHAnsi" w:cstheme="majorBidi"/>
          <w:color w:val="EE7203" w:themeColor="accent1"/>
        </w:rPr>
      </w:pPr>
      <w:r w:rsidRPr="00134E51">
        <w:rPr>
          <w:rFonts w:asciiTheme="majorHAnsi" w:eastAsiaTheme="majorEastAsia" w:hAnsiTheme="majorHAnsi" w:cstheme="majorBidi"/>
          <w:color w:val="EE7203" w:themeColor="accent1"/>
        </w:rPr>
        <w:t>Child health and nutrition</w:t>
      </w:r>
    </w:p>
    <w:p w14:paraId="0D761F44" w14:textId="77777777" w:rsidR="00134E51" w:rsidRPr="00134E51" w:rsidRDefault="00134E51" w:rsidP="00134E51">
      <w:pPr>
        <w:jc w:val="both"/>
        <w:rPr>
          <w:color w:val="000000" w:themeColor="text1"/>
        </w:rPr>
      </w:pPr>
      <w:r w:rsidRPr="00134E51">
        <w:rPr>
          <w:color w:val="000000" w:themeColor="text1"/>
        </w:rPr>
        <w:t>Additional indicators relating to infant and young child feeding (IYCF) practices</w:t>
      </w:r>
      <w:r w:rsidRPr="00134E51">
        <w:rPr>
          <w:rFonts w:cs="Times New Roman"/>
          <w:color w:val="000000" w:themeColor="text1"/>
          <w:vertAlign w:val="superscript"/>
        </w:rPr>
        <w:footnoteReference w:id="5"/>
      </w:r>
      <w:r w:rsidRPr="00134E51">
        <w:rPr>
          <w:color w:val="000000" w:themeColor="text1"/>
        </w:rPr>
        <w:t xml:space="preserve"> are outlined below: </w:t>
      </w:r>
    </w:p>
    <w:p w14:paraId="079A3A11" w14:textId="77777777" w:rsidR="00134E51" w:rsidRPr="00134E51" w:rsidRDefault="00134E51" w:rsidP="00134E51">
      <w:pPr>
        <w:numPr>
          <w:ilvl w:val="0"/>
          <w:numId w:val="43"/>
        </w:numPr>
        <w:contextualSpacing/>
        <w:jc w:val="both"/>
        <w:rPr>
          <w:b/>
          <w:bCs/>
          <w:color w:val="000000" w:themeColor="text1"/>
        </w:rPr>
      </w:pPr>
      <w:r w:rsidRPr="00134E51">
        <w:rPr>
          <w:b/>
          <w:bCs/>
          <w:color w:val="000000" w:themeColor="text1"/>
        </w:rPr>
        <w:t>Breastfeeding indicators</w:t>
      </w:r>
    </w:p>
    <w:p w14:paraId="42B240CB" w14:textId="77777777" w:rsidR="00134E51" w:rsidRPr="00134E51" w:rsidRDefault="00134E51" w:rsidP="00252F20">
      <w:pPr>
        <w:numPr>
          <w:ilvl w:val="1"/>
          <w:numId w:val="46"/>
        </w:numPr>
        <w:contextualSpacing/>
        <w:jc w:val="both"/>
        <w:rPr>
          <w:color w:val="000000" w:themeColor="text1"/>
        </w:rPr>
      </w:pPr>
      <w:r w:rsidRPr="00134E51">
        <w:rPr>
          <w:b/>
          <w:bCs/>
          <w:color w:val="000000" w:themeColor="text1"/>
        </w:rPr>
        <w:lastRenderedPageBreak/>
        <w:t>Ever breastfed:</w:t>
      </w:r>
      <w:r w:rsidRPr="00134E51">
        <w:rPr>
          <w:color w:val="000000" w:themeColor="text1"/>
        </w:rPr>
        <w:t xml:space="preserve"> Percentage of children born in the last 24 months who were ever breastfed.</w:t>
      </w:r>
    </w:p>
    <w:p w14:paraId="4B6C8270" w14:textId="77777777" w:rsidR="00134E51" w:rsidRPr="00134E51" w:rsidRDefault="00134E51" w:rsidP="00252F20">
      <w:pPr>
        <w:numPr>
          <w:ilvl w:val="1"/>
          <w:numId w:val="46"/>
        </w:numPr>
        <w:contextualSpacing/>
        <w:jc w:val="both"/>
        <w:rPr>
          <w:color w:val="000000" w:themeColor="text1"/>
        </w:rPr>
      </w:pPr>
      <w:r w:rsidRPr="00134E51">
        <w:rPr>
          <w:b/>
          <w:bCs/>
          <w:color w:val="000000" w:themeColor="text1"/>
        </w:rPr>
        <w:t>Early initiation:</w:t>
      </w:r>
      <w:r w:rsidRPr="00134E51">
        <w:rPr>
          <w:color w:val="000000" w:themeColor="text1"/>
        </w:rPr>
        <w:t xml:space="preserve"> Percentage of children born in the last 24 months who were put to the breast within one hour of birth.</w:t>
      </w:r>
    </w:p>
    <w:p w14:paraId="1CD4E299" w14:textId="77777777" w:rsidR="00134E51" w:rsidRPr="00134E51" w:rsidRDefault="00134E51" w:rsidP="00252F20">
      <w:pPr>
        <w:numPr>
          <w:ilvl w:val="1"/>
          <w:numId w:val="46"/>
        </w:numPr>
        <w:contextualSpacing/>
        <w:jc w:val="both"/>
        <w:rPr>
          <w:color w:val="000000" w:themeColor="text1"/>
        </w:rPr>
      </w:pPr>
      <w:r w:rsidRPr="00134E51">
        <w:rPr>
          <w:b/>
          <w:bCs/>
          <w:color w:val="000000" w:themeColor="text1"/>
        </w:rPr>
        <w:t>Exclusively breastfed for the first 2 days after birth:</w:t>
      </w:r>
      <w:r w:rsidRPr="00134E51">
        <w:rPr>
          <w:color w:val="000000" w:themeColor="text1"/>
        </w:rPr>
        <w:t xml:space="preserve"> Percentage of children born in the last 24 months who were fed exclusively with breast milk for the first two days after birth.</w:t>
      </w:r>
    </w:p>
    <w:p w14:paraId="2E05CE3E" w14:textId="77777777" w:rsidR="00134E51" w:rsidRPr="00134E51" w:rsidRDefault="00134E51" w:rsidP="00252F20">
      <w:pPr>
        <w:numPr>
          <w:ilvl w:val="1"/>
          <w:numId w:val="46"/>
        </w:numPr>
        <w:contextualSpacing/>
        <w:jc w:val="both"/>
        <w:rPr>
          <w:color w:val="000000" w:themeColor="text1"/>
        </w:rPr>
      </w:pPr>
      <w:r w:rsidRPr="00134E51">
        <w:rPr>
          <w:b/>
          <w:bCs/>
          <w:color w:val="000000" w:themeColor="text1"/>
        </w:rPr>
        <w:t>Exclusive breastfeeding under 6 months:</w:t>
      </w:r>
      <w:r w:rsidRPr="00134E51">
        <w:rPr>
          <w:color w:val="000000" w:themeColor="text1"/>
        </w:rPr>
        <w:t xml:space="preserve"> Percentage of infants 0–5 months of age who were fed exclusively with breast milk during the previous day.</w:t>
      </w:r>
    </w:p>
    <w:p w14:paraId="2FC5DF04" w14:textId="77777777" w:rsidR="00134E51" w:rsidRPr="00134E51" w:rsidRDefault="00134E51" w:rsidP="00252F20">
      <w:pPr>
        <w:numPr>
          <w:ilvl w:val="1"/>
          <w:numId w:val="46"/>
        </w:numPr>
        <w:contextualSpacing/>
        <w:jc w:val="both"/>
        <w:rPr>
          <w:color w:val="000000" w:themeColor="text1"/>
        </w:rPr>
      </w:pPr>
      <w:r w:rsidRPr="00134E51">
        <w:rPr>
          <w:b/>
          <w:bCs/>
          <w:color w:val="000000" w:themeColor="text1"/>
        </w:rPr>
        <w:t>Mixed milk feeding under 6 months</w:t>
      </w:r>
      <w:r w:rsidRPr="00134E51">
        <w:rPr>
          <w:color w:val="000000" w:themeColor="text1"/>
        </w:rPr>
        <w:t>: Percentage of infants 0–5 months of age who were fed formula and/or animal milk in addition to breast milk during the previous day.</w:t>
      </w:r>
    </w:p>
    <w:p w14:paraId="550962A9" w14:textId="77777777" w:rsidR="00134E51" w:rsidRPr="00134E51" w:rsidRDefault="00134E51" w:rsidP="00252F20">
      <w:pPr>
        <w:numPr>
          <w:ilvl w:val="1"/>
          <w:numId w:val="46"/>
        </w:numPr>
        <w:contextualSpacing/>
        <w:jc w:val="both"/>
        <w:rPr>
          <w:color w:val="000000" w:themeColor="text1"/>
        </w:rPr>
      </w:pPr>
      <w:r w:rsidRPr="00134E51">
        <w:rPr>
          <w:b/>
          <w:bCs/>
          <w:color w:val="000000" w:themeColor="text1"/>
        </w:rPr>
        <w:t>Continued breastfeeding:</w:t>
      </w:r>
      <w:r w:rsidRPr="00134E51">
        <w:rPr>
          <w:color w:val="000000" w:themeColor="text1"/>
        </w:rPr>
        <w:t xml:space="preserve"> Percentage of children 12–23 months of age who were fed breast milk during the previous day.</w:t>
      </w:r>
    </w:p>
    <w:p w14:paraId="641ACECD" w14:textId="77777777" w:rsidR="00134E51" w:rsidRPr="00134E51" w:rsidRDefault="00134E51" w:rsidP="00134E51">
      <w:pPr>
        <w:ind w:left="1440"/>
        <w:contextualSpacing/>
        <w:jc w:val="both"/>
        <w:rPr>
          <w:color w:val="000000" w:themeColor="text1"/>
        </w:rPr>
      </w:pPr>
    </w:p>
    <w:p w14:paraId="737C6D67" w14:textId="77777777" w:rsidR="00134E51" w:rsidRPr="00134E51" w:rsidRDefault="00134E51" w:rsidP="00134E51">
      <w:pPr>
        <w:numPr>
          <w:ilvl w:val="0"/>
          <w:numId w:val="43"/>
        </w:numPr>
        <w:contextualSpacing/>
        <w:jc w:val="both"/>
        <w:rPr>
          <w:b/>
          <w:bCs/>
          <w:color w:val="000000" w:themeColor="text1"/>
          <w:sz w:val="26"/>
          <w:szCs w:val="28"/>
        </w:rPr>
      </w:pPr>
      <w:r w:rsidRPr="00134E51">
        <w:rPr>
          <w:rFonts w:eastAsia="DejaVu Sans" w:cs="DejaVu Sans"/>
          <w:b/>
          <w:bCs/>
          <w:color w:val="000000"/>
        </w:rPr>
        <w:t>Complementary feeding indicators</w:t>
      </w:r>
    </w:p>
    <w:p w14:paraId="077E0DF2" w14:textId="77777777" w:rsidR="00134E51" w:rsidRPr="00134E51" w:rsidRDefault="00134E51" w:rsidP="00252F20">
      <w:pPr>
        <w:numPr>
          <w:ilvl w:val="1"/>
          <w:numId w:val="47"/>
        </w:numPr>
        <w:contextualSpacing/>
        <w:jc w:val="both"/>
        <w:rPr>
          <w:color w:val="000000" w:themeColor="text1"/>
        </w:rPr>
      </w:pPr>
      <w:r w:rsidRPr="00134E51">
        <w:rPr>
          <w:b/>
          <w:bCs/>
          <w:color w:val="000000" w:themeColor="text1"/>
        </w:rPr>
        <w:t xml:space="preserve">Introduction of solid, semi-solid or soft foods: </w:t>
      </w:r>
      <w:r w:rsidRPr="00134E51">
        <w:rPr>
          <w:color w:val="000000" w:themeColor="text1"/>
        </w:rPr>
        <w:t>Percentage of infants 6–8 months of age who consumed solid, semisolid, or soft foods during the previous day.</w:t>
      </w:r>
    </w:p>
    <w:p w14:paraId="09E9A468" w14:textId="77777777" w:rsidR="00134E51" w:rsidRPr="00134E51" w:rsidRDefault="00134E51" w:rsidP="00252F20">
      <w:pPr>
        <w:numPr>
          <w:ilvl w:val="1"/>
          <w:numId w:val="47"/>
        </w:numPr>
        <w:contextualSpacing/>
        <w:jc w:val="both"/>
        <w:rPr>
          <w:color w:val="000000" w:themeColor="text1"/>
        </w:rPr>
      </w:pPr>
      <w:r w:rsidRPr="00134E51">
        <w:rPr>
          <w:b/>
          <w:bCs/>
          <w:color w:val="000000" w:themeColor="text1"/>
        </w:rPr>
        <w:t xml:space="preserve">Minimum dietary diversity: </w:t>
      </w:r>
      <w:r w:rsidRPr="00134E51">
        <w:rPr>
          <w:color w:val="000000" w:themeColor="text1"/>
        </w:rPr>
        <w:t>Percentage of children 6–23 months of age who consumed foods and beverages from at least five out of eight defined food groups during the previous day.</w:t>
      </w:r>
    </w:p>
    <w:p w14:paraId="6354D2B1" w14:textId="77777777" w:rsidR="00134E51" w:rsidRPr="00134E51" w:rsidRDefault="00134E51" w:rsidP="00252F20">
      <w:pPr>
        <w:numPr>
          <w:ilvl w:val="1"/>
          <w:numId w:val="47"/>
        </w:numPr>
        <w:contextualSpacing/>
        <w:jc w:val="both"/>
        <w:rPr>
          <w:color w:val="000000" w:themeColor="text1"/>
        </w:rPr>
      </w:pPr>
      <w:r w:rsidRPr="00134E51">
        <w:rPr>
          <w:b/>
          <w:bCs/>
          <w:color w:val="000000" w:themeColor="text1"/>
        </w:rPr>
        <w:t xml:space="preserve">Minimum meal frequency: </w:t>
      </w:r>
      <w:r w:rsidRPr="00134E51">
        <w:rPr>
          <w:color w:val="000000" w:themeColor="text1"/>
        </w:rPr>
        <w:t>Percentage of children 6–23 months of age who consumed solid, semi-solid or soft foods (but also including milk feeds for non-breastfed children) at least the minimum number of times during the previous day.</w:t>
      </w:r>
    </w:p>
    <w:p w14:paraId="4823B0E2" w14:textId="77777777" w:rsidR="00134E51" w:rsidRPr="00134E51" w:rsidRDefault="00134E51" w:rsidP="00252F20">
      <w:pPr>
        <w:numPr>
          <w:ilvl w:val="1"/>
          <w:numId w:val="47"/>
        </w:numPr>
        <w:contextualSpacing/>
        <w:jc w:val="both"/>
        <w:rPr>
          <w:color w:val="000000" w:themeColor="text1"/>
        </w:rPr>
      </w:pPr>
      <w:r w:rsidRPr="00134E51">
        <w:rPr>
          <w:b/>
          <w:bCs/>
          <w:color w:val="000000" w:themeColor="text1"/>
        </w:rPr>
        <w:t xml:space="preserve">Minimum milk feeding frequency for non-breastfed children: </w:t>
      </w:r>
      <w:r w:rsidRPr="00134E51">
        <w:rPr>
          <w:color w:val="000000" w:themeColor="text1"/>
        </w:rPr>
        <w:t>Percentage of non-breastfed children 6–23 months of age who consumed at least two milk feeds during the previous day.</w:t>
      </w:r>
    </w:p>
    <w:p w14:paraId="1C45AD1D" w14:textId="77777777" w:rsidR="00134E51" w:rsidRPr="00134E51" w:rsidRDefault="00134E51" w:rsidP="00252F20">
      <w:pPr>
        <w:numPr>
          <w:ilvl w:val="1"/>
          <w:numId w:val="47"/>
        </w:numPr>
        <w:contextualSpacing/>
        <w:jc w:val="both"/>
        <w:rPr>
          <w:color w:val="000000" w:themeColor="text1"/>
        </w:rPr>
      </w:pPr>
      <w:r w:rsidRPr="00134E51">
        <w:rPr>
          <w:b/>
          <w:bCs/>
          <w:color w:val="000000" w:themeColor="text1"/>
        </w:rPr>
        <w:t xml:space="preserve">Minimum acceptable diet: </w:t>
      </w:r>
      <w:r w:rsidRPr="00134E51">
        <w:rPr>
          <w:color w:val="000000" w:themeColor="text1"/>
        </w:rPr>
        <w:t>Percentage of children 6</w:t>
      </w:r>
      <w:r w:rsidRPr="00134E51">
        <w:rPr>
          <w:rFonts w:hint="eastAsia"/>
          <w:color w:val="000000" w:themeColor="text1"/>
        </w:rPr>
        <w:t>–</w:t>
      </w:r>
      <w:r w:rsidRPr="00134E51">
        <w:rPr>
          <w:color w:val="000000" w:themeColor="text1"/>
        </w:rPr>
        <w:t>23 months of age who consumed a minimum acceptable diet during the previous day.</w:t>
      </w:r>
    </w:p>
    <w:p w14:paraId="380EF14D" w14:textId="77777777" w:rsidR="00134E51" w:rsidRPr="00134E51" w:rsidRDefault="00134E51" w:rsidP="00252F20">
      <w:pPr>
        <w:numPr>
          <w:ilvl w:val="1"/>
          <w:numId w:val="47"/>
        </w:numPr>
        <w:contextualSpacing/>
        <w:jc w:val="both"/>
        <w:rPr>
          <w:b/>
          <w:bCs/>
          <w:color w:val="000000" w:themeColor="text1"/>
        </w:rPr>
      </w:pPr>
      <w:r w:rsidRPr="00134E51">
        <w:rPr>
          <w:b/>
          <w:bCs/>
          <w:color w:val="000000" w:themeColor="text1"/>
        </w:rPr>
        <w:t xml:space="preserve">Egg and/or flesh food consumption: </w:t>
      </w:r>
      <w:r w:rsidRPr="00134E51">
        <w:rPr>
          <w:color w:val="000000" w:themeColor="text1"/>
        </w:rPr>
        <w:t>Percentage of children 6–23 months of age who consumed egg and/or flesh food during the previous day.</w:t>
      </w:r>
    </w:p>
    <w:p w14:paraId="304BE08E" w14:textId="77777777" w:rsidR="00134E51" w:rsidRPr="00134E51" w:rsidRDefault="00134E51" w:rsidP="00252F20">
      <w:pPr>
        <w:numPr>
          <w:ilvl w:val="1"/>
          <w:numId w:val="47"/>
        </w:numPr>
        <w:contextualSpacing/>
        <w:jc w:val="both"/>
        <w:rPr>
          <w:b/>
          <w:bCs/>
          <w:color w:val="000000" w:themeColor="text1"/>
        </w:rPr>
      </w:pPr>
      <w:r w:rsidRPr="00134E51">
        <w:rPr>
          <w:b/>
          <w:bCs/>
          <w:color w:val="000000" w:themeColor="text1"/>
        </w:rPr>
        <w:t xml:space="preserve">Sweet beverage consumption: </w:t>
      </w:r>
      <w:r w:rsidRPr="00134E51">
        <w:rPr>
          <w:color w:val="000000" w:themeColor="text1"/>
        </w:rPr>
        <w:t>Percentage of children 6–23 months of age who consumed a sweet beverage during the previous day.</w:t>
      </w:r>
    </w:p>
    <w:p w14:paraId="69F2694C" w14:textId="77777777" w:rsidR="00134E51" w:rsidRPr="00134E51" w:rsidRDefault="00134E51" w:rsidP="00252F20">
      <w:pPr>
        <w:numPr>
          <w:ilvl w:val="1"/>
          <w:numId w:val="47"/>
        </w:numPr>
        <w:contextualSpacing/>
        <w:jc w:val="both"/>
        <w:rPr>
          <w:b/>
          <w:bCs/>
          <w:color w:val="000000" w:themeColor="text1"/>
        </w:rPr>
      </w:pPr>
      <w:r w:rsidRPr="00134E51">
        <w:rPr>
          <w:b/>
          <w:bCs/>
          <w:color w:val="000000" w:themeColor="text1"/>
        </w:rPr>
        <w:t xml:space="preserve">Unhealthy food consumption: </w:t>
      </w:r>
      <w:r w:rsidRPr="00134E51">
        <w:rPr>
          <w:color w:val="000000" w:themeColor="text1"/>
        </w:rPr>
        <w:t>Percentage of children 6–23 months of age who consumed selected sentinel unhealthy foods during the previous day.</w:t>
      </w:r>
    </w:p>
    <w:p w14:paraId="13BE6DEA" w14:textId="77777777" w:rsidR="00134E51" w:rsidRPr="00134E51" w:rsidRDefault="00134E51" w:rsidP="00252F20">
      <w:pPr>
        <w:numPr>
          <w:ilvl w:val="1"/>
          <w:numId w:val="47"/>
        </w:numPr>
        <w:contextualSpacing/>
        <w:jc w:val="both"/>
        <w:rPr>
          <w:b/>
          <w:bCs/>
          <w:color w:val="000000" w:themeColor="text1"/>
        </w:rPr>
      </w:pPr>
      <w:r w:rsidRPr="00134E51">
        <w:rPr>
          <w:b/>
          <w:bCs/>
          <w:color w:val="000000" w:themeColor="text1"/>
        </w:rPr>
        <w:t xml:space="preserve">Zero vegetable or fruit consumption: </w:t>
      </w:r>
      <w:r w:rsidRPr="00134E51">
        <w:rPr>
          <w:color w:val="000000" w:themeColor="text1"/>
        </w:rPr>
        <w:t>Percentage of children 6–23 months of age who did not consume any vegetables or fruits during the previous day.</w:t>
      </w:r>
    </w:p>
    <w:p w14:paraId="0B8B73AA" w14:textId="77777777" w:rsidR="00134E51" w:rsidRPr="00134E51" w:rsidRDefault="00134E51" w:rsidP="00134E51">
      <w:pPr>
        <w:ind w:left="1440"/>
        <w:contextualSpacing/>
        <w:jc w:val="both"/>
        <w:rPr>
          <w:b/>
          <w:bCs/>
          <w:color w:val="000000" w:themeColor="text1"/>
        </w:rPr>
      </w:pPr>
    </w:p>
    <w:p w14:paraId="7FE1096F" w14:textId="77777777" w:rsidR="00134E51" w:rsidRPr="00134E51" w:rsidRDefault="00134E51" w:rsidP="00134E51">
      <w:pPr>
        <w:numPr>
          <w:ilvl w:val="0"/>
          <w:numId w:val="43"/>
        </w:numPr>
        <w:contextualSpacing/>
        <w:jc w:val="both"/>
        <w:rPr>
          <w:b/>
          <w:bCs/>
          <w:color w:val="000000" w:themeColor="text1"/>
        </w:rPr>
      </w:pPr>
      <w:r w:rsidRPr="00134E51">
        <w:rPr>
          <w:b/>
          <w:bCs/>
          <w:color w:val="000000" w:themeColor="text1"/>
        </w:rPr>
        <w:t>Other IYCF indicators</w:t>
      </w:r>
    </w:p>
    <w:p w14:paraId="7733EEDE" w14:textId="1AF833F5" w:rsidR="00134E51" w:rsidRPr="00252F20" w:rsidRDefault="00134E51" w:rsidP="00252F20">
      <w:pPr>
        <w:pStyle w:val="ListParagraph"/>
        <w:numPr>
          <w:ilvl w:val="0"/>
          <w:numId w:val="48"/>
        </w:numPr>
        <w:ind w:left="709" w:hanging="425"/>
        <w:jc w:val="both"/>
        <w:rPr>
          <w:rFonts w:eastAsia="DejaVu Sans" w:cs="DejaVu Sans"/>
          <w:color w:val="000000"/>
          <w:sz w:val="22"/>
          <w:szCs w:val="22"/>
        </w:rPr>
      </w:pPr>
      <w:r w:rsidRPr="00252F20">
        <w:rPr>
          <w:rFonts w:eastAsia="DejaVu Sans" w:cs="DejaVu Sans"/>
          <w:b/>
          <w:bCs/>
          <w:color w:val="000000"/>
          <w:sz w:val="22"/>
          <w:szCs w:val="22"/>
        </w:rPr>
        <w:t xml:space="preserve">Bottle </w:t>
      </w:r>
      <w:r w:rsidRPr="00252F20">
        <w:rPr>
          <w:rFonts w:eastAsia="DejaVu Sans" w:cs="DejaVu Sans"/>
          <w:b/>
          <w:bCs/>
          <w:color w:val="000000"/>
          <w:sz w:val="22"/>
          <w:szCs w:val="22"/>
        </w:rPr>
        <w:t>feeding</w:t>
      </w:r>
      <w:r w:rsidRPr="00252F20">
        <w:rPr>
          <w:rFonts w:eastAsia="DejaVu Sans" w:cs="DejaVu Sans"/>
          <w:b/>
          <w:bCs/>
          <w:color w:val="000000"/>
          <w:sz w:val="22"/>
          <w:szCs w:val="22"/>
        </w:rPr>
        <w:t xml:space="preserve"> </w:t>
      </w:r>
      <w:r w:rsidRPr="00252F20">
        <w:rPr>
          <w:rFonts w:eastAsia="DejaVu Sans" w:cs="DejaVu Sans"/>
          <w:color w:val="000000"/>
          <w:sz w:val="22"/>
          <w:szCs w:val="22"/>
        </w:rPr>
        <w:t>percentage of children 0–23 months of age who were fed from a bottle with a nipple during the previous day.</w:t>
      </w:r>
    </w:p>
    <w:p w14:paraId="1E5FAB1E" w14:textId="77777777" w:rsidR="00134E51" w:rsidRPr="00134E51" w:rsidRDefault="00134E51" w:rsidP="00134E51">
      <w:pPr>
        <w:jc w:val="both"/>
        <w:rPr>
          <w:color w:val="000000" w:themeColor="text1"/>
        </w:rPr>
      </w:pPr>
    </w:p>
    <w:p w14:paraId="57346A19" w14:textId="77777777" w:rsidR="00134E51" w:rsidRPr="00134E51" w:rsidRDefault="00134E51" w:rsidP="00134E51">
      <w:pPr>
        <w:jc w:val="both"/>
        <w:rPr>
          <w:color w:val="000000" w:themeColor="text1"/>
        </w:rPr>
      </w:pPr>
      <w:r w:rsidRPr="00134E51">
        <w:rPr>
          <w:color w:val="000000" w:themeColor="text1"/>
        </w:rPr>
        <w:t xml:space="preserve">Additional indicators relating to child health are outlined below: </w:t>
      </w:r>
    </w:p>
    <w:p w14:paraId="10D736DF" w14:textId="77777777" w:rsidR="00134E51" w:rsidRPr="00134E51" w:rsidRDefault="00134E51" w:rsidP="00134E51">
      <w:pPr>
        <w:numPr>
          <w:ilvl w:val="0"/>
          <w:numId w:val="42"/>
        </w:numPr>
        <w:spacing w:before="0" w:after="0"/>
        <w:ind w:right="402"/>
        <w:contextualSpacing/>
        <w:jc w:val="both"/>
        <w:rPr>
          <w:color w:val="000000" w:themeColor="text1"/>
        </w:rPr>
      </w:pPr>
      <w:r w:rsidRPr="00134E51">
        <w:rPr>
          <w:b/>
          <w:bCs/>
          <w:color w:val="000000" w:themeColor="text1"/>
        </w:rPr>
        <w:lastRenderedPageBreak/>
        <w:t>Vitamin A supplementation coverage:</w:t>
      </w:r>
      <w:r w:rsidRPr="00134E51">
        <w:rPr>
          <w:color w:val="000000" w:themeColor="text1"/>
        </w:rPr>
        <w:t xml:space="preserve"> </w:t>
      </w:r>
      <w:r w:rsidRPr="00134E51">
        <w:rPr>
          <w:rFonts w:eastAsia="Times New Roman" w:cs="Times New Roman"/>
          <w:color w:val="000000" w:themeColor="text1"/>
          <w:lang w:eastAsia="en-CA"/>
        </w:rPr>
        <w:t>Percentage of children aged 6-59 months who received a vitamin A capsule in the six months preceding the survey.</w:t>
      </w:r>
    </w:p>
    <w:p w14:paraId="3C453563" w14:textId="77777777" w:rsidR="00134E51" w:rsidRPr="00134E51" w:rsidRDefault="00134E51" w:rsidP="00134E51">
      <w:pPr>
        <w:numPr>
          <w:ilvl w:val="0"/>
          <w:numId w:val="42"/>
        </w:numPr>
        <w:spacing w:before="0" w:after="0"/>
        <w:contextualSpacing/>
        <w:jc w:val="both"/>
        <w:rPr>
          <w:rFonts w:eastAsia="Times New Roman" w:cs="Times New Roman"/>
          <w:color w:val="000000" w:themeColor="text1"/>
          <w:lang w:eastAsia="en-CA"/>
        </w:rPr>
      </w:pPr>
      <w:r w:rsidRPr="00134E51">
        <w:rPr>
          <w:b/>
          <w:bCs/>
          <w:color w:val="000000" w:themeColor="text1"/>
        </w:rPr>
        <w:t>Deworming coverage:</w:t>
      </w:r>
      <w:r w:rsidRPr="00134E51">
        <w:rPr>
          <w:color w:val="000000" w:themeColor="text1"/>
        </w:rPr>
        <w:t xml:space="preserve"> </w:t>
      </w:r>
      <w:r w:rsidRPr="00134E51">
        <w:rPr>
          <w:rFonts w:eastAsia="Times New Roman" w:cs="Times New Roman"/>
          <w:color w:val="000000" w:themeColor="text1"/>
          <w:lang w:eastAsia="en-CA"/>
        </w:rPr>
        <w:t>Percentage of children aged 12-59 months who were given deworming medication in the six months preceding the survey.</w:t>
      </w:r>
    </w:p>
    <w:p w14:paraId="07A00A02" w14:textId="77777777" w:rsidR="00134E51" w:rsidRPr="00134E51" w:rsidRDefault="00134E51" w:rsidP="00134E51">
      <w:pPr>
        <w:numPr>
          <w:ilvl w:val="0"/>
          <w:numId w:val="42"/>
        </w:numPr>
        <w:spacing w:before="0" w:after="0"/>
        <w:ind w:right="402"/>
        <w:contextualSpacing/>
        <w:jc w:val="both"/>
        <w:rPr>
          <w:color w:val="000000" w:themeColor="text1"/>
        </w:rPr>
      </w:pPr>
      <w:r w:rsidRPr="00134E51">
        <w:rPr>
          <w:b/>
          <w:bCs/>
          <w:color w:val="000000" w:themeColor="text1"/>
        </w:rPr>
        <w:t>Measles vaccination coverage:</w:t>
      </w:r>
      <w:r w:rsidRPr="00134E51">
        <w:rPr>
          <w:color w:val="000000" w:themeColor="text1"/>
        </w:rPr>
        <w:t xml:space="preserve"> </w:t>
      </w:r>
      <w:r w:rsidRPr="00134E51">
        <w:rPr>
          <w:rFonts w:eastAsia="Times New Roman" w:cs="Times New Roman"/>
          <w:color w:val="000000" w:themeColor="text1"/>
          <w:lang w:eastAsia="en-CA"/>
        </w:rPr>
        <w:t>Percentage of children aged 9-59 months who received measles vaccination.</w:t>
      </w:r>
    </w:p>
    <w:p w14:paraId="788C62E7" w14:textId="77777777" w:rsidR="00134E51" w:rsidRPr="00134E51" w:rsidRDefault="00134E51" w:rsidP="00134E51">
      <w:pPr>
        <w:numPr>
          <w:ilvl w:val="0"/>
          <w:numId w:val="42"/>
        </w:numPr>
        <w:spacing w:before="0" w:after="0"/>
        <w:ind w:right="402"/>
        <w:contextualSpacing/>
        <w:jc w:val="both"/>
        <w:rPr>
          <w:color w:val="000000" w:themeColor="text1"/>
        </w:rPr>
      </w:pPr>
      <w:r w:rsidRPr="00134E51">
        <w:rPr>
          <w:b/>
          <w:bCs/>
          <w:color w:val="000000" w:themeColor="text1"/>
        </w:rPr>
        <w:t>Episode of diarrhoea, care-seeking for children with diarrhoea, and use of ORS and Zinc during an episode of diarrhoea:</w:t>
      </w:r>
      <w:r w:rsidRPr="00134E51">
        <w:rPr>
          <w:color w:val="000000" w:themeColor="text1"/>
        </w:rPr>
        <w:t xml:space="preserve"> </w:t>
      </w:r>
      <w:r w:rsidRPr="00134E51">
        <w:rPr>
          <w:rFonts w:eastAsia="Times New Roman" w:cs="Times New Roman"/>
          <w:color w:val="000000" w:themeColor="text1"/>
          <w:lang w:eastAsia="en-CA"/>
        </w:rPr>
        <w:t>Percentage of children aged 6-59 months who had a diarrhoea episode in the two weeks preceding the survey. Additional measures include the percentage of caregivers who sought treatment for the child and the percentage of children who received ORS, zinc, or both during the episode.</w:t>
      </w:r>
    </w:p>
    <w:p w14:paraId="7370A582" w14:textId="77777777" w:rsidR="00134E51" w:rsidRPr="00134E51" w:rsidRDefault="00134E51" w:rsidP="00134E51">
      <w:pPr>
        <w:numPr>
          <w:ilvl w:val="0"/>
          <w:numId w:val="42"/>
        </w:numPr>
        <w:spacing w:before="0" w:after="0"/>
        <w:ind w:right="402"/>
        <w:contextualSpacing/>
        <w:jc w:val="both"/>
        <w:rPr>
          <w:b/>
          <w:bCs/>
          <w:color w:val="000000" w:themeColor="text1"/>
        </w:rPr>
      </w:pPr>
      <w:r w:rsidRPr="00134E51">
        <w:rPr>
          <w:b/>
          <w:bCs/>
          <w:color w:val="000000" w:themeColor="text1"/>
        </w:rPr>
        <w:t xml:space="preserve">Episode of fever and care-seeking for children with fever: </w:t>
      </w:r>
      <w:r w:rsidRPr="00134E51">
        <w:rPr>
          <w:rFonts w:eastAsia="Times New Roman" w:cs="Times New Roman"/>
          <w:color w:val="000000" w:themeColor="text1"/>
          <w:lang w:eastAsia="en-CA"/>
        </w:rPr>
        <w:t>Percentage of children aged 6-59 months who had a fever episode in the two weeks preceding the survey and the percentage of caregivers who sought treatment for the child.</w:t>
      </w:r>
    </w:p>
    <w:p w14:paraId="2FA272D1" w14:textId="77777777" w:rsidR="00134E51" w:rsidRPr="00F3091C" w:rsidRDefault="00134E51" w:rsidP="00134E51">
      <w:pPr>
        <w:numPr>
          <w:ilvl w:val="0"/>
          <w:numId w:val="42"/>
        </w:numPr>
        <w:spacing w:before="0" w:after="0"/>
        <w:ind w:right="402"/>
        <w:contextualSpacing/>
        <w:jc w:val="both"/>
        <w:rPr>
          <w:b/>
          <w:bCs/>
          <w:color w:val="000000" w:themeColor="text1"/>
        </w:rPr>
      </w:pPr>
      <w:r w:rsidRPr="00134E51">
        <w:rPr>
          <w:b/>
          <w:bCs/>
          <w:color w:val="000000" w:themeColor="text1"/>
        </w:rPr>
        <w:t xml:space="preserve">Episode of acute respiratory infection (ARI), and care-seeking for children with ARI: </w:t>
      </w:r>
      <w:r w:rsidRPr="00134E51">
        <w:rPr>
          <w:rFonts w:eastAsia="Times New Roman" w:cs="Times New Roman"/>
          <w:color w:val="000000" w:themeColor="text1"/>
          <w:lang w:eastAsia="en-CA"/>
        </w:rPr>
        <w:t>Percentage of children aged 6-59 months who had an ARI episode in the two weeks preceding the survey and the percentage of caregivers who sought treatment for the child.</w:t>
      </w:r>
    </w:p>
    <w:p w14:paraId="14027F64" w14:textId="77777777" w:rsidR="00F3091C" w:rsidRDefault="00F3091C" w:rsidP="00F3091C">
      <w:pPr>
        <w:spacing w:before="0" w:after="0"/>
        <w:ind w:right="402"/>
        <w:contextualSpacing/>
        <w:jc w:val="both"/>
        <w:rPr>
          <w:b/>
          <w:bCs/>
          <w:color w:val="000000" w:themeColor="text1"/>
        </w:rPr>
      </w:pPr>
    </w:p>
    <w:p w14:paraId="599F6707" w14:textId="21381F4D" w:rsidR="00F3091C" w:rsidRDefault="00F3091C" w:rsidP="00252F20">
      <w:pPr>
        <w:pStyle w:val="Heading3"/>
        <w:ind w:hanging="284"/>
      </w:pPr>
      <w:r w:rsidRPr="00F3091C">
        <w:t xml:space="preserve">Maternal Health and Nutrition  </w:t>
      </w:r>
    </w:p>
    <w:p w14:paraId="311B8B62" w14:textId="26F11A05" w:rsidR="00F3091C" w:rsidRDefault="0042450C" w:rsidP="00252F20">
      <w:pPr>
        <w:pStyle w:val="ListParagraph"/>
        <w:numPr>
          <w:ilvl w:val="0"/>
          <w:numId w:val="45"/>
        </w:numPr>
        <w:jc w:val="both"/>
      </w:pPr>
      <w:r w:rsidRPr="00252F20">
        <w:rPr>
          <w:b/>
          <w:bCs/>
        </w:rPr>
        <w:t>Antenatal care</w:t>
      </w:r>
      <w:r w:rsidRPr="00252F20">
        <w:rPr>
          <w:b/>
          <w:bCs/>
        </w:rPr>
        <w:t xml:space="preserve"> </w:t>
      </w:r>
      <w:r w:rsidRPr="00252F20">
        <w:rPr>
          <w:b/>
          <w:bCs/>
        </w:rPr>
        <w:t>(1+ visit)</w:t>
      </w:r>
      <w:r w:rsidRPr="00252F20">
        <w:rPr>
          <w:b/>
          <w:bCs/>
        </w:rPr>
        <w:t>:</w:t>
      </w:r>
      <w:r>
        <w:t xml:space="preserve"> </w:t>
      </w:r>
      <w:r w:rsidRPr="0042450C">
        <w:t xml:space="preserve">Percentage of mothers of children </w:t>
      </w:r>
      <w:r w:rsidRPr="0042450C">
        <w:t>aged</w:t>
      </w:r>
      <w:r w:rsidRPr="0042450C">
        <w:t xml:space="preserve"> 0</w:t>
      </w:r>
      <w:r>
        <w:t>-</w:t>
      </w:r>
      <w:r w:rsidRPr="0042450C">
        <w:t xml:space="preserve">23 months who received one or more antenatal care visits from a skilled health </w:t>
      </w:r>
      <w:r w:rsidRPr="0042450C">
        <w:t>provider.</w:t>
      </w:r>
    </w:p>
    <w:p w14:paraId="2913E854" w14:textId="67655BEE" w:rsidR="0042450C" w:rsidRDefault="0042450C" w:rsidP="00252F20">
      <w:pPr>
        <w:pStyle w:val="ListParagraph"/>
        <w:numPr>
          <w:ilvl w:val="0"/>
          <w:numId w:val="45"/>
        </w:numPr>
        <w:jc w:val="both"/>
      </w:pPr>
      <w:r w:rsidRPr="00252F20">
        <w:rPr>
          <w:b/>
          <w:bCs/>
        </w:rPr>
        <w:t>Antenatal care (4+ visits</w:t>
      </w:r>
      <w:r w:rsidRPr="00252F20">
        <w:rPr>
          <w:b/>
          <w:bCs/>
        </w:rPr>
        <w:t>):</w:t>
      </w:r>
      <w:r>
        <w:t xml:space="preserve"> </w:t>
      </w:r>
      <w:r w:rsidRPr="0042450C">
        <w:t xml:space="preserve">Percentage of mothers of children </w:t>
      </w:r>
      <w:r w:rsidRPr="0042450C">
        <w:t>aged</w:t>
      </w:r>
      <w:r w:rsidRPr="0042450C">
        <w:t xml:space="preserve"> 0</w:t>
      </w:r>
      <w:r>
        <w:t>-</w:t>
      </w:r>
      <w:r w:rsidRPr="0042450C">
        <w:t>23 months who had four or more antenatal visits while pregnant with their youngest child</w:t>
      </w:r>
      <w:r>
        <w:t>.</w:t>
      </w:r>
    </w:p>
    <w:p w14:paraId="69189C00" w14:textId="3F6F4B76" w:rsidR="0042450C" w:rsidRDefault="0042450C" w:rsidP="00252F20">
      <w:pPr>
        <w:pStyle w:val="ListParagraph"/>
        <w:numPr>
          <w:ilvl w:val="0"/>
          <w:numId w:val="45"/>
        </w:numPr>
        <w:jc w:val="both"/>
      </w:pPr>
      <w:r w:rsidRPr="00252F20">
        <w:rPr>
          <w:b/>
          <w:bCs/>
        </w:rPr>
        <w:t xml:space="preserve">Iron </w:t>
      </w:r>
      <w:r w:rsidRPr="00252F20">
        <w:rPr>
          <w:b/>
          <w:bCs/>
        </w:rPr>
        <w:t xml:space="preserve">Folic Acid </w:t>
      </w:r>
      <w:r w:rsidRPr="00252F20">
        <w:rPr>
          <w:b/>
          <w:bCs/>
        </w:rPr>
        <w:t>(possession)</w:t>
      </w:r>
      <w:r w:rsidRPr="00252F20">
        <w:rPr>
          <w:b/>
          <w:bCs/>
        </w:rPr>
        <w:t>:</w:t>
      </w:r>
      <w:r>
        <w:t xml:space="preserve"> </w:t>
      </w:r>
      <w:r w:rsidRPr="0042450C">
        <w:t>Percentage of mothers of children age</w:t>
      </w:r>
      <w:r>
        <w:t>d</w:t>
      </w:r>
      <w:r w:rsidRPr="0042450C">
        <w:t xml:space="preserve"> 0</w:t>
      </w:r>
      <w:r>
        <w:t>-</w:t>
      </w:r>
      <w:r w:rsidRPr="0042450C">
        <w:t>23 months who received or purchased any iron tablets during the most recent pregnancy while pregnant with their youngest child</w:t>
      </w:r>
      <w:r>
        <w:t>.</w:t>
      </w:r>
    </w:p>
    <w:p w14:paraId="4AF8C1D5" w14:textId="57620BA3" w:rsidR="0042450C" w:rsidRDefault="0042450C" w:rsidP="00252F20">
      <w:pPr>
        <w:pStyle w:val="ListParagraph"/>
        <w:numPr>
          <w:ilvl w:val="0"/>
          <w:numId w:val="45"/>
        </w:numPr>
        <w:jc w:val="both"/>
      </w:pPr>
      <w:r w:rsidRPr="00252F20">
        <w:rPr>
          <w:b/>
          <w:bCs/>
        </w:rPr>
        <w:t>Iron Folic Acid</w:t>
      </w:r>
      <w:r w:rsidRPr="00252F20">
        <w:rPr>
          <w:b/>
          <w:bCs/>
        </w:rPr>
        <w:t xml:space="preserve"> </w:t>
      </w:r>
      <w:r w:rsidRPr="00252F20">
        <w:rPr>
          <w:b/>
          <w:bCs/>
        </w:rPr>
        <w:t>(consumption)</w:t>
      </w:r>
      <w:r w:rsidRPr="00252F20">
        <w:rPr>
          <w:b/>
          <w:bCs/>
        </w:rPr>
        <w:t>:</w:t>
      </w:r>
      <w:r>
        <w:t xml:space="preserve"> </w:t>
      </w:r>
      <w:r w:rsidRPr="0042450C">
        <w:t>Percentage of mothers of children age</w:t>
      </w:r>
      <w:r>
        <w:t>d</w:t>
      </w:r>
      <w:r w:rsidRPr="0042450C">
        <w:t xml:space="preserve"> 0</w:t>
      </w:r>
      <w:r>
        <w:t>-</w:t>
      </w:r>
      <w:r w:rsidRPr="0042450C">
        <w:t xml:space="preserve">23 months who took iron tablets for 90 or more days while pregnant with their youngest </w:t>
      </w:r>
      <w:r w:rsidRPr="0042450C">
        <w:t>child.</w:t>
      </w:r>
    </w:p>
    <w:p w14:paraId="24ED4131" w14:textId="1C16A41B" w:rsidR="0042450C" w:rsidRDefault="00252F20" w:rsidP="00252F20">
      <w:pPr>
        <w:pStyle w:val="ListParagraph"/>
        <w:numPr>
          <w:ilvl w:val="0"/>
          <w:numId w:val="45"/>
        </w:numPr>
        <w:jc w:val="both"/>
      </w:pPr>
      <w:r w:rsidRPr="00252F20">
        <w:rPr>
          <w:b/>
          <w:bCs/>
        </w:rPr>
        <w:t>Minimum dietary diversity</w:t>
      </w:r>
      <w:r w:rsidRPr="00252F20">
        <w:rPr>
          <w:b/>
          <w:bCs/>
        </w:rPr>
        <w:t xml:space="preserve"> </w:t>
      </w:r>
      <w:r w:rsidRPr="00252F20">
        <w:rPr>
          <w:b/>
          <w:bCs/>
        </w:rPr>
        <w:t>(MDD)</w:t>
      </w:r>
      <w:r w:rsidRPr="00252F20">
        <w:rPr>
          <w:b/>
          <w:bCs/>
        </w:rPr>
        <w:t>-</w:t>
      </w:r>
      <w:r w:rsidRPr="00252F20">
        <w:rPr>
          <w:b/>
          <w:bCs/>
        </w:rPr>
        <w:t>women</w:t>
      </w:r>
      <w:r w:rsidRPr="00252F20">
        <w:rPr>
          <w:b/>
          <w:bCs/>
        </w:rPr>
        <w:t>:</w:t>
      </w:r>
      <w:r>
        <w:t xml:space="preserve"> </w:t>
      </w:r>
      <w:r>
        <w:t>Percentage of women consuming foods from five or more</w:t>
      </w:r>
      <w:r>
        <w:t xml:space="preserve"> </w:t>
      </w:r>
      <w:r>
        <w:t>or the MDD-W ten food groups</w:t>
      </w:r>
    </w:p>
    <w:p w14:paraId="0488CBD2" w14:textId="77777777" w:rsidR="00252F20" w:rsidRPr="00F3091C" w:rsidRDefault="00252F20" w:rsidP="00252F20">
      <w:pPr>
        <w:jc w:val="both"/>
      </w:pPr>
    </w:p>
    <w:p w14:paraId="75F90584" w14:textId="0C6A795E" w:rsidR="00252F20" w:rsidRDefault="00252F20" w:rsidP="00252F20">
      <w:pPr>
        <w:pStyle w:val="Heading3"/>
        <w:ind w:hanging="284"/>
      </w:pPr>
      <w:r w:rsidRPr="00252F20">
        <w:t>Social Demographic Information</w:t>
      </w:r>
      <w:r w:rsidRPr="00F3091C">
        <w:t xml:space="preserve">  </w:t>
      </w:r>
    </w:p>
    <w:p w14:paraId="7F6AF9ED" w14:textId="77777777" w:rsidR="00626BE3" w:rsidRDefault="00626BE3" w:rsidP="00626BE3">
      <w:pPr>
        <w:pStyle w:val="ListParagraph"/>
        <w:numPr>
          <w:ilvl w:val="0"/>
          <w:numId w:val="49"/>
        </w:numPr>
      </w:pPr>
      <w:r w:rsidRPr="00626BE3">
        <w:rPr>
          <w:b/>
          <w:bCs/>
        </w:rPr>
        <w:t>Main Occupation of Household Head</w:t>
      </w:r>
      <w:r>
        <w:t>: The primary type of work or employment undertaken by the individual designated as the head of the household.</w:t>
      </w:r>
    </w:p>
    <w:p w14:paraId="4602FB19" w14:textId="77777777" w:rsidR="00626BE3" w:rsidRDefault="00626BE3" w:rsidP="00626BE3">
      <w:pPr>
        <w:pStyle w:val="ListParagraph"/>
        <w:numPr>
          <w:ilvl w:val="0"/>
          <w:numId w:val="49"/>
        </w:numPr>
      </w:pPr>
      <w:r w:rsidRPr="00626BE3">
        <w:rPr>
          <w:b/>
          <w:bCs/>
        </w:rPr>
        <w:t>Household's Main Current Source of Income</w:t>
      </w:r>
      <w:r>
        <w:t>: The primary source of financial support for the household.</w:t>
      </w:r>
    </w:p>
    <w:p w14:paraId="7B67CD9D" w14:textId="77777777" w:rsidR="00626BE3" w:rsidRDefault="00626BE3" w:rsidP="00626BE3">
      <w:pPr>
        <w:pStyle w:val="ListParagraph"/>
        <w:numPr>
          <w:ilvl w:val="0"/>
          <w:numId w:val="49"/>
        </w:numPr>
      </w:pPr>
      <w:r w:rsidRPr="00626BE3">
        <w:rPr>
          <w:b/>
          <w:bCs/>
        </w:rPr>
        <w:t>Enrolment in Cash Transfer Program</w:t>
      </w:r>
      <w:r>
        <w:t>: Whether the household is currently receiving financial assistance through any cash transfer or welfare program.</w:t>
      </w:r>
    </w:p>
    <w:p w14:paraId="5847F094" w14:textId="77777777" w:rsidR="00626BE3" w:rsidRDefault="00626BE3" w:rsidP="00626BE3">
      <w:pPr>
        <w:pStyle w:val="ListParagraph"/>
        <w:numPr>
          <w:ilvl w:val="0"/>
          <w:numId w:val="49"/>
        </w:numPr>
      </w:pPr>
      <w:r w:rsidRPr="00626BE3">
        <w:rPr>
          <w:b/>
          <w:bCs/>
        </w:rPr>
        <w:t>Children Who Have Come to Live with You Recently</w:t>
      </w:r>
      <w:r>
        <w:t>: The number of children who have joined the household recently, either through birth, adoption, or relocation.</w:t>
      </w:r>
    </w:p>
    <w:p w14:paraId="5AE53102" w14:textId="5228A54D" w:rsidR="00626BE3" w:rsidRDefault="00626BE3" w:rsidP="00626BE3">
      <w:pPr>
        <w:pStyle w:val="ListParagraph"/>
        <w:numPr>
          <w:ilvl w:val="0"/>
          <w:numId w:val="49"/>
        </w:numPr>
      </w:pPr>
      <w:r w:rsidRPr="00626BE3">
        <w:rPr>
          <w:b/>
          <w:bCs/>
        </w:rPr>
        <w:lastRenderedPageBreak/>
        <w:t>Highest Level of Education</w:t>
      </w:r>
      <w:r>
        <w:t xml:space="preserve">: The highest level of formal education attained by </w:t>
      </w:r>
      <w:r>
        <w:t>adults in</w:t>
      </w:r>
      <w:r>
        <w:t xml:space="preserve"> the household.</w:t>
      </w:r>
    </w:p>
    <w:p w14:paraId="0150A07F" w14:textId="2596125D" w:rsidR="00252F20" w:rsidRPr="00252F20" w:rsidRDefault="00626BE3" w:rsidP="00626BE3">
      <w:pPr>
        <w:pStyle w:val="ListParagraph"/>
        <w:numPr>
          <w:ilvl w:val="0"/>
          <w:numId w:val="49"/>
        </w:numPr>
      </w:pPr>
      <w:r w:rsidRPr="00626BE3">
        <w:rPr>
          <w:b/>
          <w:bCs/>
        </w:rPr>
        <w:t>School Enrolment</w:t>
      </w:r>
      <w:r>
        <w:t>: The current enrolment status of children of school-going age within the household, indicating whether they are currently attending school.</w:t>
      </w:r>
    </w:p>
    <w:p w14:paraId="35BAC835" w14:textId="77777777" w:rsidR="00F3091C" w:rsidRPr="00134E51" w:rsidRDefault="00F3091C" w:rsidP="00F3091C">
      <w:pPr>
        <w:spacing w:before="0" w:after="0"/>
        <w:ind w:right="402"/>
        <w:contextualSpacing/>
        <w:jc w:val="both"/>
        <w:rPr>
          <w:b/>
          <w:bCs/>
          <w:color w:val="000000" w:themeColor="text1"/>
        </w:rPr>
      </w:pPr>
    </w:p>
    <w:p w14:paraId="5A877257" w14:textId="77777777" w:rsidR="00BC28CE" w:rsidRPr="00E5329F" w:rsidRDefault="00000000">
      <w:pPr>
        <w:pStyle w:val="Heading1"/>
        <w:rPr>
          <w:i w:val="0"/>
          <w:iCs/>
        </w:rPr>
      </w:pPr>
      <w:r w:rsidRPr="00E5329F">
        <w:rPr>
          <w:i w:val="0"/>
          <w:iCs/>
        </w:rPr>
        <w:t>Questionnaire</w:t>
      </w:r>
      <w:bookmarkEnd w:id="67"/>
    </w:p>
    <w:p w14:paraId="28E4C2F5" w14:textId="4EF1880D" w:rsidR="00626BE3" w:rsidRDefault="00626BE3" w:rsidP="00626BE3">
      <w:pPr>
        <w:jc w:val="both"/>
      </w:pPr>
      <w:r w:rsidRPr="00626BE3">
        <w:t xml:space="preserve">The survey questionnaire was initially prepared in written English but was administered in local languages based on the cluster's location. Given Isiolo County's diverse population with over </w:t>
      </w:r>
      <w:r>
        <w:t>six</w:t>
      </w:r>
      <w:r w:rsidRPr="00626BE3">
        <w:t xml:space="preserve"> tribes, team composition was carefully planned to include members fluent in the local languages. During training, significant time was dedicated to familiarizing the teams with the questionnaire to ensure accurate administration. Pretesting of the questionnaire was conducted in four nearby villages that were not included in the sampling, and feedback gathered from this exercise was shared with the survey teams to further refine the questionnaire.</w:t>
      </w:r>
    </w:p>
    <w:p w14:paraId="3AE5BB80" w14:textId="77777777" w:rsidR="00BC28CE" w:rsidRPr="00E5329F" w:rsidRDefault="00000000">
      <w:pPr>
        <w:pStyle w:val="Heading1"/>
        <w:rPr>
          <w:i w:val="0"/>
          <w:iCs/>
        </w:rPr>
      </w:pPr>
      <w:bookmarkStart w:id="68" w:name="limitations"/>
      <w:bookmarkStart w:id="69" w:name="_Toc161945690"/>
      <w:bookmarkEnd w:id="66"/>
      <w:r w:rsidRPr="00E5329F">
        <w:rPr>
          <w:i w:val="0"/>
          <w:iCs/>
        </w:rPr>
        <w:t>Limitations</w:t>
      </w:r>
      <w:bookmarkEnd w:id="69"/>
    </w:p>
    <w:p w14:paraId="1A56E12A" w14:textId="01B95CAA" w:rsidR="00BC28CE" w:rsidRDefault="00626BE3" w:rsidP="00626BE3">
      <w:pPr>
        <w:jc w:val="both"/>
      </w:pPr>
      <w:r>
        <w:t>D</w:t>
      </w:r>
      <w:r w:rsidRPr="00626BE3">
        <w:t>ue to security concerns, some areas within Isiolo County were excluded from the survey, potentially leading to a lack of representation of certain populations. Additionally, the survey relied on self-reported data, which could be subject to recall bias or inaccuracies</w:t>
      </w:r>
      <w:r w:rsidR="00000000">
        <w:t>.</w:t>
      </w:r>
    </w:p>
    <w:p w14:paraId="57687EE9" w14:textId="77777777" w:rsidR="00661D75" w:rsidRDefault="00661D75">
      <w:pPr>
        <w:pStyle w:val="Heading1"/>
        <w:sectPr w:rsidR="00661D75" w:rsidSect="0088658D">
          <w:pgSz w:w="12240" w:h="15840"/>
          <w:pgMar w:top="1440" w:right="1440" w:bottom="1440" w:left="1440" w:header="708" w:footer="708" w:gutter="0"/>
          <w:cols w:space="708"/>
          <w:titlePg/>
          <w:docGrid w:linePitch="360"/>
        </w:sectPr>
      </w:pPr>
      <w:bookmarkStart w:id="70" w:name="survey-findings"/>
      <w:bookmarkStart w:id="71" w:name="_Toc161945691"/>
      <w:bookmarkEnd w:id="68"/>
    </w:p>
    <w:p w14:paraId="1208BC90" w14:textId="77777777" w:rsidR="00BC28CE" w:rsidRPr="00626BE3" w:rsidRDefault="00000000">
      <w:pPr>
        <w:pStyle w:val="Heading1"/>
        <w:rPr>
          <w:i w:val="0"/>
          <w:iCs/>
        </w:rPr>
      </w:pPr>
      <w:r w:rsidRPr="00626BE3">
        <w:rPr>
          <w:i w:val="0"/>
          <w:iCs/>
        </w:rPr>
        <w:lastRenderedPageBreak/>
        <w:t>Survey Findings</w:t>
      </w:r>
      <w:bookmarkEnd w:id="71"/>
    </w:p>
    <w:p w14:paraId="74368B8B" w14:textId="77777777" w:rsidR="00BC28CE" w:rsidRPr="00040C9A" w:rsidRDefault="00000000">
      <w:pPr>
        <w:pStyle w:val="Heading2"/>
        <w:rPr>
          <w:i w:val="0"/>
          <w:iCs/>
        </w:rPr>
      </w:pPr>
      <w:bookmarkStart w:id="72" w:name="survey-sample"/>
      <w:bookmarkStart w:id="73" w:name="_Toc161945692"/>
      <w:r w:rsidRPr="00040C9A">
        <w:rPr>
          <w:i w:val="0"/>
          <w:iCs/>
        </w:rPr>
        <w:t>Survey Sample</w:t>
      </w:r>
      <w:bookmarkEnd w:id="73"/>
    </w:p>
    <w:p w14:paraId="5A526F3C" w14:textId="11B0E5EB" w:rsidR="00EB0213" w:rsidRDefault="00EB0213" w:rsidP="00EB0213">
      <w:pPr>
        <w:jc w:val="both"/>
      </w:pPr>
      <w:r w:rsidRPr="00EB0213">
        <w:t>The survey aimed to include 409 children for the anthropometric survey, drawn from 650 households spread across 47 clusters. Ultimately, the survey successfully reached 44</w:t>
      </w:r>
      <w:r w:rsidR="00576ED8">
        <w:t>9</w:t>
      </w:r>
      <w:r w:rsidRPr="00EB0213">
        <w:t xml:space="preserve"> children, exceeding the target, which represented 109.</w:t>
      </w:r>
      <w:r w:rsidR="00576ED8">
        <w:t>8</w:t>
      </w:r>
      <w:r w:rsidRPr="00EB0213">
        <w:t>% coverage, and covered 624 households, accounting for 94.8% of the intended sample size, across all 47 clusters, achieving full coverage. Analysis revealed that out of all households surveyed, 388 had children under five years old, indicating that approximately 62.2% of households in the surveyed areas had children in this age group.</w:t>
      </w:r>
    </w:p>
    <w:p w14:paraId="333F3881"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74" w:name="_Toc161945718"/>
      <w:r>
        <w:rPr>
          <w:b/>
        </w:rPr>
        <w:t xml:space="preserve">Table </w:t>
      </w:r>
      <w:bookmarkStart w:id="75" w:name="prop-sample-achieved"/>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9</w:t>
      </w:r>
      <w:r>
        <w:rPr>
          <w:b/>
        </w:rPr>
        <w:fldChar w:fldCharType="end"/>
      </w:r>
      <w:bookmarkEnd w:id="75"/>
      <w:r>
        <w:rPr>
          <w:b/>
        </w:rPr>
        <w:t xml:space="preserve">: </w:t>
      </w:r>
      <w:r>
        <w:t>Proportion of Household and Child Sample Achieved (Anthropometry Data)</w:t>
      </w:r>
      <w:bookmarkEnd w:id="74"/>
    </w:p>
    <w:tbl>
      <w:tblPr>
        <w:tblW w:w="5000" w:type="pct"/>
        <w:jc w:val="center"/>
        <w:tblLook w:val="0420" w:firstRow="1" w:lastRow="0" w:firstColumn="0" w:lastColumn="0" w:noHBand="0" w:noVBand="1"/>
      </w:tblPr>
      <w:tblGrid>
        <w:gridCol w:w="7614"/>
        <w:gridCol w:w="1726"/>
      </w:tblGrid>
      <w:tr w:rsidR="00BC28CE" w14:paraId="180CC933" w14:textId="77777777" w:rsidTr="00855BF1">
        <w:trPr>
          <w:tblHeade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B67785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924"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B7F91E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Value</w:t>
            </w:r>
          </w:p>
        </w:tc>
      </w:tr>
      <w:tr w:rsidR="00BC28CE" w14:paraId="270C1580"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8F56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Number of clusters planned</w:t>
            </w:r>
          </w:p>
        </w:tc>
        <w:tc>
          <w:tcPr>
            <w:tcW w:w="92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ED0C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47</w:t>
            </w:r>
          </w:p>
        </w:tc>
      </w:tr>
      <w:tr w:rsidR="00BC28CE" w14:paraId="271C455A"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5A1A2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Number of clusters surveyed</w:t>
            </w:r>
          </w:p>
        </w:tc>
        <w:tc>
          <w:tcPr>
            <w:tcW w:w="92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DEEC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47</w:t>
            </w:r>
          </w:p>
        </w:tc>
      </w:tr>
      <w:tr w:rsidR="00BC28CE" w14:paraId="7F5D503F"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29D5F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 clusters of planned</w:t>
            </w:r>
          </w:p>
        </w:tc>
        <w:tc>
          <w:tcPr>
            <w:tcW w:w="92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6352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w:t>
            </w:r>
          </w:p>
        </w:tc>
      </w:tr>
      <w:tr w:rsidR="00BC28CE" w14:paraId="3C8B0D3F"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DC8A6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Number of households planned</w:t>
            </w:r>
          </w:p>
        </w:tc>
        <w:tc>
          <w:tcPr>
            <w:tcW w:w="92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B591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650.1</w:t>
            </w:r>
          </w:p>
        </w:tc>
      </w:tr>
      <w:tr w:rsidR="00BC28CE" w14:paraId="0A179B12"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87FC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Number of households surveyed</w:t>
            </w:r>
          </w:p>
        </w:tc>
        <w:tc>
          <w:tcPr>
            <w:tcW w:w="92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DE956F" w14:textId="15AD4EDA" w:rsidR="00BC28CE" w:rsidRDefault="00576ED8">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624</w:t>
            </w:r>
          </w:p>
        </w:tc>
      </w:tr>
      <w:tr w:rsidR="00BC28CE" w14:paraId="20B157BF"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6A4A9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 households of planned</w:t>
            </w:r>
          </w:p>
        </w:tc>
        <w:tc>
          <w:tcPr>
            <w:tcW w:w="92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095FEA" w14:textId="1F3BA9A3" w:rsidR="00BC28CE" w:rsidRDefault="00576ED8">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94.8</w:t>
            </w:r>
            <w:r w:rsidR="00000000">
              <w:rPr>
                <w:rFonts w:ascii="DejaVu Sans" w:eastAsia="DejaVu Sans" w:hAnsi="DejaVu Sans" w:cs="DejaVu Sans"/>
                <w:color w:val="000000"/>
                <w:sz w:val="20"/>
                <w:szCs w:val="20"/>
              </w:rPr>
              <w:t>%</w:t>
            </w:r>
          </w:p>
        </w:tc>
      </w:tr>
      <w:tr w:rsidR="00BC28CE" w14:paraId="00607D07"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7FF5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Number of children planned</w:t>
            </w:r>
          </w:p>
        </w:tc>
        <w:tc>
          <w:tcPr>
            <w:tcW w:w="92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FFFB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408.6</w:t>
            </w:r>
          </w:p>
        </w:tc>
      </w:tr>
      <w:tr w:rsidR="00BC28CE" w14:paraId="2F3AB33E"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0A91E0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Number of children surveyed</w:t>
            </w:r>
          </w:p>
        </w:tc>
        <w:tc>
          <w:tcPr>
            <w:tcW w:w="92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F0E980" w14:textId="32458A49"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w:t>
            </w:r>
            <w:r w:rsidR="00576ED8">
              <w:rPr>
                <w:rFonts w:ascii="DejaVu Sans" w:eastAsia="DejaVu Sans" w:hAnsi="DejaVu Sans" w:cs="DejaVu Sans"/>
                <w:color w:val="000000"/>
                <w:sz w:val="20"/>
                <w:szCs w:val="20"/>
              </w:rPr>
              <w:t>49</w:t>
            </w:r>
          </w:p>
        </w:tc>
      </w:tr>
      <w:tr w:rsidR="00BC28CE" w14:paraId="0BBEDCD1" w14:textId="77777777" w:rsidTr="00855BF1">
        <w:trPr>
          <w:jc w:val="center"/>
        </w:trPr>
        <w:tc>
          <w:tcPr>
            <w:tcW w:w="407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FB12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 children of planned</w:t>
            </w:r>
          </w:p>
        </w:tc>
        <w:tc>
          <w:tcPr>
            <w:tcW w:w="92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F2AC0B" w14:textId="56097841"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w:t>
            </w:r>
            <w:r w:rsidR="00576ED8">
              <w:rPr>
                <w:rFonts w:ascii="DejaVu Sans" w:eastAsia="DejaVu Sans" w:hAnsi="DejaVu Sans" w:cs="DejaVu Sans"/>
                <w:color w:val="000000"/>
                <w:sz w:val="20"/>
                <w:szCs w:val="20"/>
              </w:rPr>
              <w:t>09.8</w:t>
            </w:r>
            <w:r>
              <w:rPr>
                <w:rFonts w:ascii="DejaVu Sans" w:eastAsia="DejaVu Sans" w:hAnsi="DejaVu Sans" w:cs="DejaVu Sans"/>
                <w:color w:val="000000"/>
                <w:sz w:val="20"/>
                <w:szCs w:val="20"/>
              </w:rPr>
              <w:t>%</w:t>
            </w:r>
          </w:p>
        </w:tc>
      </w:tr>
    </w:tbl>
    <w:p w14:paraId="627147BC" w14:textId="66E55302" w:rsidR="00264CD8" w:rsidRDefault="00264CD8" w:rsidP="00264CD8">
      <w:pPr>
        <w:jc w:val="both"/>
      </w:pPr>
      <w:r w:rsidRPr="00264CD8">
        <w:t xml:space="preserve">Among the 449 children surveyed for anthropometry, 234 were boys and 215 were girls, resulting in a </w:t>
      </w:r>
      <w:r>
        <w:t>sex</w:t>
      </w:r>
      <w:r w:rsidRPr="00264CD8">
        <w:t xml:space="preserve"> ratio of 1:09. This s</w:t>
      </w:r>
      <w:r w:rsidR="009E7655">
        <w:t>hows</w:t>
      </w:r>
      <w:r w:rsidRPr="00264CD8">
        <w:t xml:space="preserve"> equal representation of boys and girls in the survey, supported by a p-value of 0.370. Additionally, the age ratio between children aged 6-29 months and those aged 30-59 months was 0.86, closely aligning with the expected value of 0.85. Hence, both younger and older children were equally represented in the </w:t>
      </w:r>
      <w:r w:rsidRPr="00264CD8">
        <w:t>survey.</w:t>
      </w:r>
    </w:p>
    <w:p w14:paraId="4B80072A"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76" w:name="_Toc161945719"/>
      <w:r>
        <w:rPr>
          <w:b/>
        </w:rPr>
        <w:t xml:space="preserve">Table </w:t>
      </w:r>
      <w:bookmarkStart w:id="77" w:name="distr-age-sex"/>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10</w:t>
      </w:r>
      <w:r>
        <w:rPr>
          <w:b/>
        </w:rPr>
        <w:fldChar w:fldCharType="end"/>
      </w:r>
      <w:bookmarkEnd w:id="77"/>
      <w:r>
        <w:rPr>
          <w:b/>
        </w:rPr>
        <w:t xml:space="preserve">: </w:t>
      </w:r>
      <w:r>
        <w:t>Distribution of age and sex among children 6-59 months (SMART exclusions)</w:t>
      </w:r>
      <w:bookmarkEnd w:id="76"/>
    </w:p>
    <w:tbl>
      <w:tblPr>
        <w:tblW w:w="5000" w:type="pct"/>
        <w:jc w:val="center"/>
        <w:tblLook w:val="0420" w:firstRow="1" w:lastRow="0" w:firstColumn="0" w:lastColumn="0" w:noHBand="0" w:noVBand="1"/>
      </w:tblPr>
      <w:tblGrid>
        <w:gridCol w:w="1528"/>
        <w:gridCol w:w="1018"/>
        <w:gridCol w:w="1190"/>
        <w:gridCol w:w="1018"/>
        <w:gridCol w:w="1190"/>
        <w:gridCol w:w="1018"/>
        <w:gridCol w:w="1190"/>
        <w:gridCol w:w="1188"/>
      </w:tblGrid>
      <w:tr w:rsidR="00BC28CE" w14:paraId="06CE15B7" w14:textId="77777777" w:rsidTr="00576ED8">
        <w:trPr>
          <w:tblHeader/>
          <w:jc w:val="center"/>
        </w:trPr>
        <w:tc>
          <w:tcPr>
            <w:tcW w:w="818" w:type="pct"/>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99FA2D7"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Age (Months)</w:t>
            </w:r>
          </w:p>
        </w:tc>
        <w:tc>
          <w:tcPr>
            <w:tcW w:w="1182"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C36B7A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Boys</w:t>
            </w:r>
          </w:p>
        </w:tc>
        <w:tc>
          <w:tcPr>
            <w:tcW w:w="1182"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A300ED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Girls</w:t>
            </w:r>
          </w:p>
        </w:tc>
        <w:tc>
          <w:tcPr>
            <w:tcW w:w="1182"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0B6C03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Total</w:t>
            </w:r>
          </w:p>
        </w:tc>
        <w:tc>
          <w:tcPr>
            <w:tcW w:w="636"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DF839C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Ratio</w:t>
            </w:r>
          </w:p>
        </w:tc>
      </w:tr>
      <w:tr w:rsidR="00BC28CE" w14:paraId="1D41A3D6" w14:textId="77777777" w:rsidTr="00576ED8">
        <w:trPr>
          <w:tblHeader/>
          <w:jc w:val="center"/>
        </w:trPr>
        <w:tc>
          <w:tcPr>
            <w:tcW w:w="818" w:type="pct"/>
            <w:vMerge/>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2B23AF5A"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545"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30AC71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636"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F83B9E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545"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B80C8B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636"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6A1B60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545"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4D018C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636"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E548BD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636"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C86DFB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proofErr w:type="gramStart"/>
            <w:r>
              <w:rPr>
                <w:rFonts w:ascii="DejaVu Sans" w:eastAsia="DejaVu Sans" w:hAnsi="DejaVu Sans" w:cs="DejaVu Sans"/>
                <w:b/>
                <w:color w:val="000000"/>
                <w:sz w:val="20"/>
                <w:szCs w:val="20"/>
              </w:rPr>
              <w:t>Boy:Girl</w:t>
            </w:r>
            <w:proofErr w:type="gramEnd"/>
          </w:p>
        </w:tc>
      </w:tr>
      <w:tr w:rsidR="00BC28CE" w14:paraId="50CF702A" w14:textId="77777777" w:rsidTr="00576ED8">
        <w:trPr>
          <w:jc w:val="center"/>
        </w:trPr>
        <w:tc>
          <w:tcPr>
            <w:tcW w:w="81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37043B" w14:textId="5E9F1401" w:rsidR="00BC28CE" w:rsidRDefault="00576ED8">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6 to</w:t>
            </w:r>
            <w:r w:rsidR="00000000">
              <w:rPr>
                <w:rFonts w:ascii="DejaVu Sans" w:eastAsia="DejaVu Sans" w:hAnsi="DejaVu Sans" w:cs="DejaVu Sans"/>
                <w:color w:val="000000"/>
                <w:sz w:val="20"/>
                <w:szCs w:val="20"/>
              </w:rPr>
              <w:t xml:space="preserve"> 17</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AA54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45.0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06C2F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19.2%</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5C4E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53.0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332E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24.7%</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96DC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98.0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984519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21.8%</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3BAF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0.85</w:t>
            </w:r>
          </w:p>
        </w:tc>
      </w:tr>
      <w:tr w:rsidR="00BC28CE" w14:paraId="77EEE962" w14:textId="77777777" w:rsidTr="00576ED8">
        <w:trPr>
          <w:jc w:val="center"/>
        </w:trPr>
        <w:tc>
          <w:tcPr>
            <w:tcW w:w="81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0EDF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18 to 29</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ACFF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57.0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C978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24.4%</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92EBA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52.0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A5A4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24.2%</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B5D8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109.0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44E7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24.3%</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7E07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1.10</w:t>
            </w:r>
          </w:p>
        </w:tc>
      </w:tr>
      <w:tr w:rsidR="00BC28CE" w14:paraId="25A5C427" w14:textId="77777777" w:rsidTr="00576ED8">
        <w:trPr>
          <w:jc w:val="center"/>
        </w:trPr>
        <w:tc>
          <w:tcPr>
            <w:tcW w:w="81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37C55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30 to 41</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DC93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57.0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214A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24.4%</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82364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48.0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DE61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22.3%</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50C1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105.0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B2B7B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23.4%</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2B13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1.19</w:t>
            </w:r>
          </w:p>
        </w:tc>
      </w:tr>
      <w:tr w:rsidR="00BC28CE" w14:paraId="1110472D" w14:textId="77777777" w:rsidTr="00576ED8">
        <w:trPr>
          <w:jc w:val="center"/>
        </w:trPr>
        <w:tc>
          <w:tcPr>
            <w:tcW w:w="81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62CE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42 to 53</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A674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53.0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CACE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22.6%</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567A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43.0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B8EF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20.0%</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C47A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96.0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A198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21.4%</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6E00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1.23</w:t>
            </w:r>
          </w:p>
        </w:tc>
      </w:tr>
      <w:tr w:rsidR="00BC28CE" w14:paraId="1F1A301D" w14:textId="77777777" w:rsidTr="00576ED8">
        <w:trPr>
          <w:jc w:val="center"/>
        </w:trPr>
        <w:tc>
          <w:tcPr>
            <w:tcW w:w="81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8751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lastRenderedPageBreak/>
              <w:t>54 to 59</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5FD7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22.0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9E8BA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9.4%</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04F9CE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19.0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431A0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8.8%</w:t>
            </w:r>
          </w:p>
        </w:tc>
        <w:tc>
          <w:tcPr>
            <w:tcW w:w="54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49EBF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41.0</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EE14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9.1%</w:t>
            </w:r>
          </w:p>
        </w:tc>
        <w:tc>
          <w:tcPr>
            <w:tcW w:w="636"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91C4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1.16</w:t>
            </w:r>
          </w:p>
        </w:tc>
      </w:tr>
      <w:tr w:rsidR="00BC28CE" w14:paraId="3A3B0866" w14:textId="77777777" w:rsidTr="00576ED8">
        <w:trPr>
          <w:jc w:val="center"/>
        </w:trPr>
        <w:tc>
          <w:tcPr>
            <w:tcW w:w="81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AB48D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Total</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AF92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234.0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9852A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100.0%</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4B53F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215.0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5A24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100.0%</w:t>
            </w:r>
          </w:p>
        </w:tc>
        <w:tc>
          <w:tcPr>
            <w:tcW w:w="54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3AE89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449.0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FA792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100.0%</w:t>
            </w:r>
          </w:p>
        </w:tc>
        <w:tc>
          <w:tcPr>
            <w:tcW w:w="636"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065D6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1.09</w:t>
            </w:r>
          </w:p>
        </w:tc>
      </w:tr>
    </w:tbl>
    <w:p w14:paraId="05BDF6D1" w14:textId="38225417" w:rsidR="00BC28CE" w:rsidRDefault="00BC28CE"/>
    <w:p w14:paraId="63B26785" w14:textId="77777777" w:rsidR="00BC28CE" w:rsidRPr="00E5329F" w:rsidRDefault="00000000">
      <w:pPr>
        <w:pStyle w:val="Heading2"/>
        <w:rPr>
          <w:i w:val="0"/>
          <w:iCs/>
        </w:rPr>
      </w:pPr>
      <w:bookmarkStart w:id="78" w:name="data-quality"/>
      <w:bookmarkStart w:id="79" w:name="_Toc161945693"/>
      <w:bookmarkEnd w:id="72"/>
      <w:r w:rsidRPr="00E5329F">
        <w:rPr>
          <w:i w:val="0"/>
          <w:iCs/>
        </w:rPr>
        <w:t>Data Quality</w:t>
      </w:r>
      <w:bookmarkEnd w:id="79"/>
    </w:p>
    <w:p w14:paraId="14E475E8" w14:textId="08335350" w:rsidR="009E7655" w:rsidRDefault="009E7655" w:rsidP="009E7655">
      <w:pPr>
        <w:jc w:val="both"/>
      </w:pPr>
      <w:r w:rsidRPr="009E7655">
        <w:t xml:space="preserve">The mean z-scores for the three anthropometric indices - Weight-for-Height, Weight-for-Age, and Height-for-Age - </w:t>
      </w:r>
      <w:r w:rsidR="00B74601">
        <w:t>were</w:t>
      </w:r>
      <w:r w:rsidRPr="009E7655">
        <w:t xml:space="preserve"> negative, indicating a prevalence of both acute and chronic malnutrition within the population. The standard deviation for all indices f</w:t>
      </w:r>
      <w:r w:rsidR="00B74601">
        <w:t>ell</w:t>
      </w:r>
      <w:r w:rsidRPr="009E7655">
        <w:t xml:space="preserve"> within acceptable ranges, suggesting that the data is reliable and of good quality. Overall, the data provides valuable insights into the nutritional status of the surveyed population, enabling informed decision-making for intervention </w:t>
      </w:r>
      <w:r w:rsidRPr="009E7655">
        <w:t>strategies.</w:t>
      </w:r>
    </w:p>
    <w:p w14:paraId="2E4163BC"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80" w:name="_Toc161945720"/>
      <w:r>
        <w:rPr>
          <w:b/>
        </w:rPr>
        <w:t xml:space="preserve">Table </w:t>
      </w:r>
      <w:bookmarkStart w:id="81" w:name="mean-z-deff"/>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11</w:t>
      </w:r>
      <w:r>
        <w:rPr>
          <w:b/>
        </w:rPr>
        <w:fldChar w:fldCharType="end"/>
      </w:r>
      <w:bookmarkEnd w:id="81"/>
      <w:r>
        <w:rPr>
          <w:b/>
        </w:rPr>
        <w:t xml:space="preserve">: </w:t>
      </w:r>
      <w:r>
        <w:t>Mean Z-scores, Design Effects, Missing and Out-of-Range Data of Anthropometric Indicators among Children 6-59 months (SMART exclusions)</w:t>
      </w:r>
      <w:bookmarkEnd w:id="80"/>
    </w:p>
    <w:tbl>
      <w:tblPr>
        <w:tblW w:w="5000" w:type="pct"/>
        <w:jc w:val="center"/>
        <w:tblLook w:val="0420" w:firstRow="1" w:lastRow="0" w:firstColumn="0" w:lastColumn="0" w:noHBand="0" w:noVBand="1"/>
      </w:tblPr>
      <w:tblGrid>
        <w:gridCol w:w="2336"/>
        <w:gridCol w:w="780"/>
        <w:gridCol w:w="1556"/>
        <w:gridCol w:w="1556"/>
        <w:gridCol w:w="1556"/>
        <w:gridCol w:w="1556"/>
      </w:tblGrid>
      <w:tr w:rsidR="00BC28CE" w14:paraId="2EB6C537" w14:textId="77777777" w:rsidTr="00576ED8">
        <w:trPr>
          <w:tblHeader/>
          <w:jc w:val="center"/>
        </w:trPr>
        <w:tc>
          <w:tcPr>
            <w:tcW w:w="1250"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D9BDFC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417"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FE42C1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w:t>
            </w:r>
          </w:p>
        </w:tc>
        <w:tc>
          <w:tcPr>
            <w:tcW w:w="83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F7BFF3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Mean z-scores ± SD</w:t>
            </w:r>
          </w:p>
        </w:tc>
        <w:tc>
          <w:tcPr>
            <w:tcW w:w="83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2FAB5E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Design effect (z-score &lt; -2)</w:t>
            </w:r>
          </w:p>
        </w:tc>
        <w:tc>
          <w:tcPr>
            <w:tcW w:w="83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720249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Z-scores not available*</w:t>
            </w:r>
          </w:p>
        </w:tc>
        <w:tc>
          <w:tcPr>
            <w:tcW w:w="83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727D8D8"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Z-scores out of range</w:t>
            </w:r>
          </w:p>
        </w:tc>
      </w:tr>
      <w:tr w:rsidR="00BC28CE" w14:paraId="2BEA7A6F" w14:textId="77777777" w:rsidTr="00576ED8">
        <w:trPr>
          <w:jc w:val="center"/>
        </w:trPr>
        <w:tc>
          <w:tcPr>
            <w:tcW w:w="1250"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4B894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Weight-for-Height</w:t>
            </w:r>
          </w:p>
        </w:tc>
        <w:tc>
          <w:tcPr>
            <w:tcW w:w="4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1DB5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444</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C4CD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-0.97 ±0.96</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14C02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1.15</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1C1D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B92DB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w:t>
            </w:r>
          </w:p>
        </w:tc>
      </w:tr>
      <w:tr w:rsidR="00BC28CE" w14:paraId="6BA56C9C" w14:textId="77777777" w:rsidTr="00576ED8">
        <w:trPr>
          <w:jc w:val="center"/>
        </w:trPr>
        <w:tc>
          <w:tcPr>
            <w:tcW w:w="1250"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D67BF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Weight-for-Age</w:t>
            </w:r>
          </w:p>
        </w:tc>
        <w:tc>
          <w:tcPr>
            <w:tcW w:w="4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322BE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444</w:t>
            </w:r>
          </w:p>
        </w:tc>
        <w:tc>
          <w:tcPr>
            <w:tcW w:w="83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CA98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-1.15 ±0.99</w:t>
            </w:r>
          </w:p>
        </w:tc>
        <w:tc>
          <w:tcPr>
            <w:tcW w:w="83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5A9B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w:t>
            </w:r>
          </w:p>
        </w:tc>
        <w:tc>
          <w:tcPr>
            <w:tcW w:w="83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0426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83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5038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w:t>
            </w:r>
          </w:p>
        </w:tc>
      </w:tr>
      <w:tr w:rsidR="00BC28CE" w14:paraId="41E0FC9F" w14:textId="77777777" w:rsidTr="00576ED8">
        <w:trPr>
          <w:jc w:val="center"/>
        </w:trPr>
        <w:tc>
          <w:tcPr>
            <w:tcW w:w="1250"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4448E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Height-for-Age</w:t>
            </w:r>
          </w:p>
        </w:tc>
        <w:tc>
          <w:tcPr>
            <w:tcW w:w="4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1E07C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435</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1C17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-0.95 ±1.10</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C375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1.60</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75D2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09C5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w:t>
            </w:r>
          </w:p>
        </w:tc>
      </w:tr>
    </w:tbl>
    <w:p w14:paraId="6F48279E" w14:textId="58AB211E" w:rsidR="00BC28CE" w:rsidRDefault="00BC28CE"/>
    <w:p w14:paraId="3E24B9A8" w14:textId="77777777" w:rsidR="00BC28CE" w:rsidRPr="00E5329F" w:rsidRDefault="00000000">
      <w:pPr>
        <w:pStyle w:val="Heading2"/>
        <w:rPr>
          <w:i w:val="0"/>
          <w:iCs/>
        </w:rPr>
      </w:pPr>
      <w:bookmarkStart w:id="82" w:name="prevalence-of-acute-malnutrition"/>
      <w:bookmarkStart w:id="83" w:name="_Toc161945694"/>
      <w:bookmarkEnd w:id="78"/>
      <w:r w:rsidRPr="00E5329F">
        <w:rPr>
          <w:i w:val="0"/>
          <w:iCs/>
        </w:rPr>
        <w:t>Prevalence of Acute Malnutrition</w:t>
      </w:r>
      <w:bookmarkEnd w:id="83"/>
    </w:p>
    <w:p w14:paraId="2BA3C239" w14:textId="034D2C90" w:rsidR="00A070BB" w:rsidRDefault="00A070BB" w:rsidP="00A070BB">
      <w:pPr>
        <w:jc w:val="both"/>
      </w:pPr>
      <w:r w:rsidRPr="00A070BB">
        <w:t>The results indicate that 13.7% of children were affected by global acute malnutrition, with 11.5% classified as having moderate acute malnutrition and 2.3% classified as severe acute malnutrition.</w:t>
      </w:r>
      <w:r>
        <w:t xml:space="preserve"> A</w:t>
      </w:r>
      <w:r w:rsidRPr="00A070BB">
        <w:t>s per the WHO prevalence thresholds, classified GAM as High (10 &lt;15%)</w:t>
      </w:r>
      <w:r w:rsidR="00614F94">
        <w:t xml:space="preserve">. </w:t>
      </w:r>
      <w:r w:rsidRPr="00A070BB">
        <w:t>According to the Integrated Phase Classification (IPC), which assesses GAM based on weight-for-height Z-score (WHZ), the prevalence falling within the range of 10% to 14.9% corresponds to IPC Phase 3 (Serious)</w:t>
      </w:r>
      <w:r>
        <w:t>.</w:t>
      </w:r>
    </w:p>
    <w:p w14:paraId="6EB86A01" w14:textId="1F81A7F0" w:rsidR="00A070BB" w:rsidRDefault="00A070BB" w:rsidP="00A070BB">
      <w:pPr>
        <w:jc w:val="both"/>
      </w:pPr>
      <w:r w:rsidRPr="00A070BB">
        <w:t>When disaggregated by sex, the prevalence rates were relatively similar between boys and girls, with slightly higher rates observed among boys for both moderate and severe acute malnutrition.</w:t>
      </w:r>
    </w:p>
    <w:p w14:paraId="433168AE" w14:textId="77777777" w:rsidR="00A070BB" w:rsidRDefault="00A070BB" w:rsidP="00A070BB">
      <w:pPr>
        <w:jc w:val="both"/>
      </w:pPr>
    </w:p>
    <w:p w14:paraId="09FF3AB0"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84" w:name="_Toc161945721"/>
      <w:r>
        <w:rPr>
          <w:b/>
        </w:rPr>
        <w:lastRenderedPageBreak/>
        <w:t xml:space="preserve">Table </w:t>
      </w:r>
      <w:bookmarkStart w:id="85" w:name="malnourished-by-sex-wh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12</w:t>
      </w:r>
      <w:r>
        <w:rPr>
          <w:b/>
        </w:rPr>
        <w:fldChar w:fldCharType="end"/>
      </w:r>
      <w:bookmarkEnd w:id="85"/>
      <w:r>
        <w:rPr>
          <w:b/>
        </w:rPr>
        <w:t xml:space="preserve">: </w:t>
      </w:r>
      <w:r>
        <w:t>Prevalence of Acute Malnutrition by WHZ (and/or oedema) by Severity and Sex among Children 6-59 months (SMART exclusions), WHO 2006 Reference</w:t>
      </w:r>
      <w:bookmarkEnd w:id="84"/>
    </w:p>
    <w:tbl>
      <w:tblPr>
        <w:tblW w:w="0" w:type="auto"/>
        <w:jc w:val="center"/>
        <w:tblLayout w:type="fixed"/>
        <w:tblLook w:val="0420" w:firstRow="1" w:lastRow="0" w:firstColumn="0" w:lastColumn="0" w:noHBand="0" w:noVBand="1"/>
      </w:tblPr>
      <w:tblGrid>
        <w:gridCol w:w="4176"/>
        <w:gridCol w:w="1728"/>
        <w:gridCol w:w="1728"/>
        <w:gridCol w:w="1728"/>
      </w:tblGrid>
      <w:tr w:rsidR="00BC28CE" w14:paraId="26ACFF1C" w14:textId="77777777">
        <w:trPr>
          <w:tblHeade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F7B36A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4EC476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All</w:t>
            </w:r>
            <w:r>
              <w:rPr>
                <w:rFonts w:ascii="DejaVu Sans" w:eastAsia="DejaVu Sans" w:hAnsi="DejaVu Sans" w:cs="DejaVu Sans"/>
                <w:b/>
                <w:color w:val="FFFFFF"/>
                <w:sz w:val="20"/>
                <w:szCs w:val="20"/>
              </w:rPr>
              <w:br/>
              <w:t>(N=444)</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77D51F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Boys</w:t>
            </w:r>
            <w:r>
              <w:rPr>
                <w:rFonts w:ascii="DejaVu Sans" w:eastAsia="DejaVu Sans" w:hAnsi="DejaVu Sans" w:cs="DejaVu Sans"/>
                <w:b/>
                <w:color w:val="FFFFFF"/>
                <w:sz w:val="20"/>
                <w:szCs w:val="20"/>
              </w:rPr>
              <w:br/>
              <w:t>(N=232)</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DBDD54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Girls</w:t>
            </w:r>
            <w:r>
              <w:rPr>
                <w:rFonts w:ascii="DejaVu Sans" w:eastAsia="DejaVu Sans" w:hAnsi="DejaVu Sans" w:cs="DejaVu Sans"/>
                <w:b/>
                <w:color w:val="FFFFFF"/>
                <w:sz w:val="20"/>
                <w:szCs w:val="20"/>
              </w:rPr>
              <w:br/>
              <w:t>(N=212)</w:t>
            </w:r>
          </w:p>
        </w:tc>
      </w:tr>
      <w:tr w:rsidR="00BC28CE" w14:paraId="2E9F164C"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5C38C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 undernutrition</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F952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(383) 86.3%</w:t>
            </w:r>
            <w:r>
              <w:rPr>
                <w:rFonts w:ascii="DejaVu Sans" w:eastAsia="DejaVu Sans" w:hAnsi="DejaVu Sans" w:cs="DejaVu Sans"/>
                <w:color w:val="000000"/>
                <w:sz w:val="20"/>
                <w:szCs w:val="20"/>
              </w:rPr>
              <w:br/>
              <w:t>(82.3%, 89.4%)</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F1BB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(196) 84.5%</w:t>
            </w:r>
            <w:r>
              <w:rPr>
                <w:rFonts w:ascii="DejaVu Sans" w:eastAsia="DejaVu Sans" w:hAnsi="DejaVu Sans" w:cs="DejaVu Sans"/>
                <w:color w:val="000000"/>
                <w:sz w:val="20"/>
                <w:szCs w:val="20"/>
              </w:rPr>
              <w:br/>
              <w:t>(79.6%, 88.4%)</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AB81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(187) 88.2%</w:t>
            </w:r>
            <w:r>
              <w:rPr>
                <w:rFonts w:ascii="DejaVu Sans" w:eastAsia="DejaVu Sans" w:hAnsi="DejaVu Sans" w:cs="DejaVu Sans"/>
                <w:color w:val="000000"/>
                <w:sz w:val="20"/>
                <w:szCs w:val="20"/>
              </w:rPr>
              <w:br/>
              <w:t>(81.5%, 92.7%)</w:t>
            </w:r>
          </w:p>
        </w:tc>
      </w:tr>
      <w:tr w:rsidR="00BC28CE" w14:paraId="1A86454B"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8273B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global acute malnutrition (&lt;-2 z-score and/or oedema)</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1D9C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(61) 13.7%</w:t>
            </w:r>
            <w:r>
              <w:rPr>
                <w:rFonts w:ascii="DejaVu Sans" w:eastAsia="DejaVu Sans" w:hAnsi="DejaVu Sans" w:cs="DejaVu Sans"/>
                <w:color w:val="000000"/>
                <w:sz w:val="20"/>
                <w:szCs w:val="20"/>
              </w:rPr>
              <w:br/>
              <w:t>(10.6%, 17.7%)</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0CB7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(36) 15.5%</w:t>
            </w:r>
            <w:r>
              <w:rPr>
                <w:rFonts w:ascii="DejaVu Sans" w:eastAsia="DejaVu Sans" w:hAnsi="DejaVu Sans" w:cs="DejaVu Sans"/>
                <w:color w:val="000000"/>
                <w:sz w:val="20"/>
                <w:szCs w:val="20"/>
              </w:rPr>
              <w:br/>
              <w:t>(11.6%, 20.4%)</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DFEC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(25) 11.8%</w:t>
            </w:r>
            <w:r>
              <w:rPr>
                <w:rFonts w:ascii="DejaVu Sans" w:eastAsia="DejaVu Sans" w:hAnsi="DejaVu Sans" w:cs="DejaVu Sans"/>
                <w:color w:val="000000"/>
                <w:sz w:val="20"/>
                <w:szCs w:val="20"/>
              </w:rPr>
              <w:br/>
              <w:t>(7.3%, 18.5%)</w:t>
            </w:r>
          </w:p>
        </w:tc>
      </w:tr>
      <w:tr w:rsidR="00BC28CE" w14:paraId="784E1A42"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C1D0F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moderate acute malnutrition (&lt;-2 to ≥-3 z-score)</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E5F0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(51) 11.5%</w:t>
            </w:r>
            <w:r>
              <w:rPr>
                <w:rFonts w:ascii="DejaVu Sans" w:eastAsia="DejaVu Sans" w:hAnsi="DejaVu Sans" w:cs="DejaVu Sans"/>
                <w:color w:val="000000"/>
                <w:sz w:val="20"/>
                <w:szCs w:val="20"/>
              </w:rPr>
              <w:br/>
              <w:t>(8.2%, 15.9%)</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3D2E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(30) 12.9%</w:t>
            </w:r>
            <w:r>
              <w:rPr>
                <w:rFonts w:ascii="DejaVu Sans" w:eastAsia="DejaVu Sans" w:hAnsi="DejaVu Sans" w:cs="DejaVu Sans"/>
                <w:color w:val="000000"/>
                <w:sz w:val="20"/>
                <w:szCs w:val="20"/>
              </w:rPr>
              <w:br/>
              <w:t>(9.0%, 18.3%)</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1F21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(21) 9.9%</w:t>
            </w:r>
            <w:r>
              <w:rPr>
                <w:rFonts w:ascii="DejaVu Sans" w:eastAsia="DejaVu Sans" w:hAnsi="DejaVu Sans" w:cs="DejaVu Sans"/>
                <w:color w:val="000000"/>
                <w:sz w:val="20"/>
                <w:szCs w:val="20"/>
              </w:rPr>
              <w:br/>
              <w:t>(5.8%, 16.4%)</w:t>
            </w:r>
          </w:p>
        </w:tc>
      </w:tr>
      <w:tr w:rsidR="00BC28CE" w14:paraId="256C7F36"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7523D2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severe acute malnutrition (&lt;-3 z-score and/or oedema)</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900DF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 2.3%</w:t>
            </w:r>
            <w:r>
              <w:rPr>
                <w:rFonts w:ascii="DejaVu Sans" w:eastAsia="DejaVu Sans" w:hAnsi="DejaVu Sans" w:cs="DejaVu Sans"/>
                <w:color w:val="000000"/>
                <w:sz w:val="20"/>
                <w:szCs w:val="20"/>
              </w:rPr>
              <w:br/>
              <w:t>(1.3%, 4.0%)</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90E5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 2.6%</w:t>
            </w:r>
            <w:r>
              <w:rPr>
                <w:rFonts w:ascii="DejaVu Sans" w:eastAsia="DejaVu Sans" w:hAnsi="DejaVu Sans" w:cs="DejaVu Sans"/>
                <w:color w:val="000000"/>
                <w:sz w:val="20"/>
                <w:szCs w:val="20"/>
              </w:rPr>
              <w:br/>
              <w:t>(1.2%, 5.5%)</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BCA0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 1.9%</w:t>
            </w:r>
            <w:r>
              <w:rPr>
                <w:rFonts w:ascii="DejaVu Sans" w:eastAsia="DejaVu Sans" w:hAnsi="DejaVu Sans" w:cs="DejaVu Sans"/>
                <w:color w:val="000000"/>
                <w:sz w:val="20"/>
                <w:szCs w:val="20"/>
              </w:rPr>
              <w:br/>
              <w:t>(0.7%, 5.0%)</w:t>
            </w:r>
          </w:p>
        </w:tc>
      </w:tr>
    </w:tbl>
    <w:p w14:paraId="4E59125C" w14:textId="748B512F" w:rsidR="00BC28CE" w:rsidRDefault="00000000" w:rsidP="00544A73">
      <w:pPr>
        <w:jc w:val="both"/>
      </w:pPr>
      <w:r>
        <w:br/>
      </w:r>
      <w:r w:rsidR="00544A73" w:rsidRPr="00544A73">
        <w:t xml:space="preserve">The analysis across age cohorts reveals varying degrees of malnutrition prevalence. Wasting </w:t>
      </w:r>
      <w:r w:rsidR="0095496A">
        <w:t>was</w:t>
      </w:r>
      <w:r w:rsidR="00544A73" w:rsidRPr="00544A73">
        <w:t xml:space="preserve"> consistently observed across all age groups, with the highest prevalence </w:t>
      </w:r>
      <w:r w:rsidR="0095496A">
        <w:t xml:space="preserve">of </w:t>
      </w:r>
      <w:r w:rsidR="0095496A" w:rsidRPr="0095496A">
        <w:t>Moderate wasting</w:t>
      </w:r>
      <w:r w:rsidR="0095496A" w:rsidRPr="0095496A">
        <w:t xml:space="preserve"> </w:t>
      </w:r>
      <w:r w:rsidR="00544A73" w:rsidRPr="00544A73">
        <w:t xml:space="preserve">found among children aged </w:t>
      </w:r>
      <w:r w:rsidR="0095496A" w:rsidRPr="0095496A">
        <w:t>42 to 53</w:t>
      </w:r>
      <w:r w:rsidR="0095496A">
        <w:t xml:space="preserve"> and </w:t>
      </w:r>
      <w:r w:rsidR="0095496A" w:rsidRPr="0095496A">
        <w:t>54 to 59</w:t>
      </w:r>
      <w:r w:rsidR="0095496A">
        <w:t xml:space="preserve"> </w:t>
      </w:r>
      <w:r w:rsidR="00544A73" w:rsidRPr="00544A73">
        <w:t xml:space="preserve">months. Conversely, severe wasting shows a fluctuating trend, peaking among children aged </w:t>
      </w:r>
      <w:r w:rsidR="0095496A" w:rsidRPr="0095496A">
        <w:t>18 to</w:t>
      </w:r>
      <w:r w:rsidR="0095496A">
        <w:t xml:space="preserve"> </w:t>
      </w:r>
      <w:r w:rsidR="0095496A" w:rsidRPr="0095496A">
        <w:t>29</w:t>
      </w:r>
      <w:r w:rsidR="0095496A">
        <w:t xml:space="preserve"> </w:t>
      </w:r>
      <w:r w:rsidR="00544A73" w:rsidRPr="00544A73">
        <w:t>months. Interestingly, oedema is entirely absent across all age cohorts, indicating a consistent lack of severe acute malnutrition with nutritional oedema.</w:t>
      </w:r>
    </w:p>
    <w:p w14:paraId="4A2221CC"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86" w:name="_Toc161945722"/>
      <w:r>
        <w:rPr>
          <w:b/>
        </w:rPr>
        <w:t xml:space="preserve">Table </w:t>
      </w:r>
      <w:bookmarkStart w:id="87" w:name="malnourished-by-age-wh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13</w:t>
      </w:r>
      <w:r>
        <w:rPr>
          <w:b/>
        </w:rPr>
        <w:fldChar w:fldCharType="end"/>
      </w:r>
      <w:bookmarkEnd w:id="87"/>
      <w:r>
        <w:rPr>
          <w:b/>
        </w:rPr>
        <w:t xml:space="preserve">: </w:t>
      </w:r>
      <w:r>
        <w:t>Prevalence of Acute Malnutrition per WHZ and/or Oedema by Severity and Age Group (SMART exclusions)</w:t>
      </w:r>
      <w:bookmarkEnd w:id="86"/>
    </w:p>
    <w:tbl>
      <w:tblPr>
        <w:tblW w:w="0" w:type="pct"/>
        <w:jc w:val="center"/>
        <w:tblLook w:val="0420" w:firstRow="1" w:lastRow="0" w:firstColumn="0" w:lastColumn="0" w:noHBand="0" w:noVBand="1"/>
      </w:tblPr>
      <w:tblGrid>
        <w:gridCol w:w="1486"/>
        <w:gridCol w:w="562"/>
        <w:gridCol w:w="562"/>
        <w:gridCol w:w="850"/>
        <w:gridCol w:w="461"/>
        <w:gridCol w:w="902"/>
        <w:gridCol w:w="630"/>
        <w:gridCol w:w="1232"/>
        <w:gridCol w:w="610"/>
        <w:gridCol w:w="1014"/>
        <w:gridCol w:w="308"/>
        <w:gridCol w:w="723"/>
      </w:tblGrid>
      <w:tr w:rsidR="00BC28CE" w14:paraId="3ADF0C5D" w14:textId="77777777">
        <w:trPr>
          <w:tblHeader/>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A7768C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Age (Months)</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1FC443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5D186E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No wasting</w:t>
            </w:r>
            <w:r>
              <w:rPr>
                <w:rFonts w:ascii="DejaVu Sans" w:eastAsia="DejaVu Sans" w:hAnsi="DejaVu Sans" w:cs="DejaVu Sans"/>
                <w:b/>
                <w:color w:val="FFFFFF"/>
                <w:sz w:val="20"/>
                <w:szCs w:val="20"/>
              </w:rPr>
              <w:br/>
              <w:t>(WHZ ≥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230800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Wasting</w:t>
            </w:r>
            <w:r>
              <w:rPr>
                <w:rFonts w:ascii="DejaVu Sans" w:eastAsia="DejaVu Sans" w:hAnsi="DejaVu Sans" w:cs="DejaVu Sans"/>
                <w:b/>
                <w:color w:val="FFFFFF"/>
                <w:sz w:val="20"/>
                <w:szCs w:val="20"/>
              </w:rPr>
              <w:br/>
              <w:t>(WHZ &lt;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9ABF34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Moderate wasting</w:t>
            </w:r>
            <w:r>
              <w:rPr>
                <w:rFonts w:ascii="DejaVu Sans" w:eastAsia="DejaVu Sans" w:hAnsi="DejaVu Sans" w:cs="DejaVu Sans"/>
                <w:b/>
                <w:color w:val="FFFFFF"/>
                <w:sz w:val="20"/>
                <w:szCs w:val="20"/>
              </w:rPr>
              <w:br/>
              <w:t>(-3 ≤ WHZ &lt;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4A155E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Severe wasting</w:t>
            </w:r>
            <w:r>
              <w:rPr>
                <w:rFonts w:ascii="DejaVu Sans" w:eastAsia="DejaVu Sans" w:hAnsi="DejaVu Sans" w:cs="DejaVu Sans"/>
                <w:b/>
                <w:color w:val="FFFFFF"/>
                <w:sz w:val="20"/>
                <w:szCs w:val="20"/>
              </w:rPr>
              <w:br/>
              <w:t>(WHZ &lt; -3)</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C6A08C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Oedema</w:t>
            </w:r>
          </w:p>
        </w:tc>
      </w:tr>
      <w:tr w:rsidR="00BC28CE" w14:paraId="0CB933AB" w14:textId="77777777">
        <w:trPr>
          <w:tblHeader/>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EA1870"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0" w:type="auto"/>
            <w:vMerge/>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44B8538F"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jc w:val="center"/>
            </w:pP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E6A6AB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38DD40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30C556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B344A9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01E99D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10080C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B5A456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125C08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058171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E7BC17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r>
      <w:tr w:rsidR="00BC28CE" w14:paraId="03CF0C32"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FFE7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gramStart"/>
            <w:r>
              <w:rPr>
                <w:rFonts w:ascii="DejaVu Sans" w:eastAsia="DejaVu Sans" w:hAnsi="DejaVu Sans" w:cs="DejaVu Sans"/>
                <w:color w:val="000000"/>
                <w:sz w:val="20"/>
                <w:szCs w:val="20"/>
              </w:rPr>
              <w:t>6  to</w:t>
            </w:r>
            <w:proofErr w:type="gramEnd"/>
            <w:r>
              <w:rPr>
                <w:rFonts w:ascii="DejaVu Sans" w:eastAsia="DejaVu Sans" w:hAnsi="DejaVu Sans" w:cs="DejaVu Sans"/>
                <w:color w:val="000000"/>
                <w:sz w:val="20"/>
                <w:szCs w:val="20"/>
              </w:rPr>
              <w:t xml:space="preserve"> 17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57BB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BD0B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83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6FFB0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88.3%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0FD41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CEAF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342B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7D29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B5904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6D66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F04A7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A65F0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107CACBE"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138A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18 to 29</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B4E3A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108</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8F77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95</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DDF7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88.0%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6498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2B8B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9D96C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6AE09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D9F85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C051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3.7%</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C0E74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A560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052AFC7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FBC1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30 to 41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393D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EA16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7FD9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85.7%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CC85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19FB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CC70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7F86F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D867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90169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6304E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4B63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1CE309A7"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D2545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42 to 53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F146F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83B58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81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7CD74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84.4%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FEE8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3004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30D2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137D2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B51E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B7246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0927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45CD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367CC1D4"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F602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54 to 59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BCFA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F3BD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34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BBA7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82.9%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1325A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98CA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9E09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CD8B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1685A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B68D4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B6F8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5ED7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1900C18D"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24B4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All</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2AFF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86C7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383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3A8DA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86.3%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DCC9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4338D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13.7%</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BEE8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51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F03A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11.5%</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EF76A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DA71F5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F6AE5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F696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bl>
    <w:p w14:paraId="4D0DF43F" w14:textId="77777777" w:rsidR="00BC28CE" w:rsidRDefault="00000000">
      <w:r>
        <w:br/>
      </w:r>
    </w:p>
    <w:p w14:paraId="2B5FED4E" w14:textId="77777777" w:rsidR="00BC28CE" w:rsidRDefault="00000000">
      <w:pPr>
        <w:pStyle w:val="ImageCaption"/>
      </w:pPr>
      <w:bookmarkStart w:id="88" w:name="_Toc161945765"/>
      <w:r>
        <w:rPr>
          <w:b/>
        </w:rPr>
        <w:t xml:space="preserve">Figure </w:t>
      </w:r>
      <w:bookmarkStart w:id="89" w:name="pdf-wh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1</w:t>
      </w:r>
      <w:r>
        <w:rPr>
          <w:b/>
        </w:rPr>
        <w:fldChar w:fldCharType="end"/>
      </w:r>
      <w:bookmarkEnd w:id="89"/>
      <w:r>
        <w:rPr>
          <w:b/>
        </w:rPr>
        <w:t xml:space="preserve">: </w:t>
      </w:r>
      <w:r>
        <w:t>Distribution of WHZ Sample Compared to the WHO 2006 WHZ Reference Curve</w:t>
      </w:r>
      <w:bookmarkEnd w:id="88"/>
    </w:p>
    <w:p w14:paraId="1A1F89B4" w14:textId="77777777" w:rsidR="00BC28CE" w:rsidRDefault="00000000">
      <w:pPr>
        <w:jc w:val="center"/>
      </w:pPr>
      <w:r>
        <w:rPr>
          <w:noProof/>
        </w:rPr>
        <w:lastRenderedPageBreak/>
        <w:drawing>
          <wp:inline distT="0" distB="0" distL="0" distR="0" wp14:anchorId="77E5C060" wp14:editId="44120D0C">
            <wp:extent cx="5486400"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21" cstate="print"/>
                    <a:stretch>
                      <a:fillRect/>
                    </a:stretch>
                  </pic:blipFill>
                  <pic:spPr bwMode="auto">
                    <a:xfrm>
                      <a:off x="0" y="0"/>
                      <a:ext cx="76200" cy="44450"/>
                    </a:xfrm>
                    <a:prstGeom prst="rect">
                      <a:avLst/>
                    </a:prstGeom>
                    <a:noFill/>
                  </pic:spPr>
                </pic:pic>
              </a:graphicData>
            </a:graphic>
          </wp:inline>
        </w:drawing>
      </w:r>
    </w:p>
    <w:p w14:paraId="46F272FD" w14:textId="77777777" w:rsidR="00BC28CE" w:rsidRDefault="00000000">
      <w:pPr>
        <w:pStyle w:val="ImageCaption"/>
      </w:pPr>
      <w:bookmarkStart w:id="90" w:name="_Toc161945766"/>
      <w:r>
        <w:rPr>
          <w:b/>
        </w:rPr>
        <w:t xml:space="preserve">Figure </w:t>
      </w:r>
      <w:bookmarkStart w:id="91" w:name="dynamite-wh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2</w:t>
      </w:r>
      <w:r>
        <w:rPr>
          <w:b/>
        </w:rPr>
        <w:fldChar w:fldCharType="end"/>
      </w:r>
      <w:bookmarkEnd w:id="91"/>
      <w:r>
        <w:rPr>
          <w:b/>
        </w:rPr>
        <w:t xml:space="preserve">: </w:t>
      </w:r>
      <w:r>
        <w:t>Mean WHZ by Age Group</w:t>
      </w:r>
      <w:bookmarkEnd w:id="90"/>
    </w:p>
    <w:p w14:paraId="5E324161" w14:textId="77777777" w:rsidR="00BC28CE" w:rsidRDefault="00000000">
      <w:pPr>
        <w:jc w:val="center"/>
      </w:pPr>
      <w:r>
        <w:rPr>
          <w:noProof/>
        </w:rPr>
        <w:drawing>
          <wp:inline distT="0" distB="0" distL="0" distR="0" wp14:anchorId="038B6E0A" wp14:editId="17091F98">
            <wp:extent cx="5486400"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22" cstate="print"/>
                    <a:stretch>
                      <a:fillRect/>
                    </a:stretch>
                  </pic:blipFill>
                  <pic:spPr bwMode="auto">
                    <a:xfrm>
                      <a:off x="0" y="0"/>
                      <a:ext cx="76200" cy="44450"/>
                    </a:xfrm>
                    <a:prstGeom prst="rect">
                      <a:avLst/>
                    </a:prstGeom>
                    <a:noFill/>
                  </pic:spPr>
                </pic:pic>
              </a:graphicData>
            </a:graphic>
          </wp:inline>
        </w:drawing>
      </w:r>
    </w:p>
    <w:p w14:paraId="49030E8A"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92" w:name="_Toc161945723"/>
      <w:r>
        <w:rPr>
          <w:b/>
        </w:rPr>
        <w:t xml:space="preserve">Table </w:t>
      </w:r>
      <w:bookmarkStart w:id="93" w:name="sam"/>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14</w:t>
      </w:r>
      <w:r>
        <w:rPr>
          <w:b/>
        </w:rPr>
        <w:fldChar w:fldCharType="end"/>
      </w:r>
      <w:bookmarkEnd w:id="93"/>
      <w:r>
        <w:rPr>
          <w:b/>
        </w:rPr>
        <w:t xml:space="preserve">: </w:t>
      </w:r>
      <w:r>
        <w:t>Distribution of Severe Acute Malnutrition per Oedema among Children 6-59 months (SMART exclusions)</w:t>
      </w:r>
      <w:bookmarkEnd w:id="92"/>
    </w:p>
    <w:tbl>
      <w:tblPr>
        <w:tblW w:w="5000" w:type="pct"/>
        <w:jc w:val="center"/>
        <w:tblLook w:val="0420" w:firstRow="1" w:lastRow="0" w:firstColumn="0" w:lastColumn="0" w:noHBand="0" w:noVBand="1"/>
      </w:tblPr>
      <w:tblGrid>
        <w:gridCol w:w="2893"/>
        <w:gridCol w:w="2952"/>
        <w:gridCol w:w="3495"/>
      </w:tblGrid>
      <w:tr w:rsidR="00BC28CE" w14:paraId="5C91C951" w14:textId="77777777" w:rsidTr="0095496A">
        <w:trPr>
          <w:tblHeader/>
          <w:jc w:val="center"/>
        </w:trPr>
        <w:tc>
          <w:tcPr>
            <w:tcW w:w="1548"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55197FB"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1580"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640357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WHZ &lt; -3</w:t>
            </w:r>
          </w:p>
        </w:tc>
        <w:tc>
          <w:tcPr>
            <w:tcW w:w="1871"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850532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WHZ ≥ -3</w:t>
            </w:r>
          </w:p>
        </w:tc>
      </w:tr>
      <w:tr w:rsidR="00BC28CE" w14:paraId="389CC781" w14:textId="77777777" w:rsidTr="0095496A">
        <w:trPr>
          <w:jc w:val="center"/>
        </w:trPr>
        <w:tc>
          <w:tcPr>
            <w:tcW w:w="154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FE5085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Presence of Oedema*</w:t>
            </w:r>
          </w:p>
        </w:tc>
        <w:tc>
          <w:tcPr>
            <w:tcW w:w="1580"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7D91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Marasmic kwashiorkor</w:t>
            </w:r>
            <w:r>
              <w:rPr>
                <w:rFonts w:ascii="DejaVu Sans" w:eastAsia="DejaVu Sans" w:hAnsi="DejaVu Sans" w:cs="DejaVu Sans"/>
                <w:color w:val="000000"/>
                <w:sz w:val="20"/>
                <w:szCs w:val="20"/>
              </w:rPr>
              <w:br/>
              <w:t xml:space="preserve">  0</w:t>
            </w:r>
            <w:r>
              <w:rPr>
                <w:rFonts w:ascii="DejaVu Sans" w:eastAsia="DejaVu Sans" w:hAnsi="DejaVu Sans" w:cs="DejaVu Sans"/>
                <w:color w:val="000000"/>
                <w:sz w:val="20"/>
                <w:szCs w:val="20"/>
              </w:rPr>
              <w:br/>
              <w:t>(0.0%)</w:t>
            </w:r>
          </w:p>
        </w:tc>
        <w:tc>
          <w:tcPr>
            <w:tcW w:w="18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5309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Kwashiorkor</w:t>
            </w:r>
            <w:r>
              <w:rPr>
                <w:rFonts w:ascii="DejaVu Sans" w:eastAsia="DejaVu Sans" w:hAnsi="DejaVu Sans" w:cs="DejaVu Sans"/>
                <w:color w:val="000000"/>
                <w:sz w:val="20"/>
                <w:szCs w:val="20"/>
              </w:rPr>
              <w:br/>
              <w:t xml:space="preserve">  0</w:t>
            </w:r>
            <w:r>
              <w:rPr>
                <w:rFonts w:ascii="DejaVu Sans" w:eastAsia="DejaVu Sans" w:hAnsi="DejaVu Sans" w:cs="DejaVu Sans"/>
                <w:color w:val="000000"/>
                <w:sz w:val="20"/>
                <w:szCs w:val="20"/>
              </w:rPr>
              <w:br/>
              <w:t>(0.0%)</w:t>
            </w:r>
          </w:p>
        </w:tc>
      </w:tr>
      <w:tr w:rsidR="00BC28CE" w14:paraId="36A69E5D" w14:textId="77777777" w:rsidTr="0095496A">
        <w:trPr>
          <w:jc w:val="center"/>
        </w:trPr>
        <w:tc>
          <w:tcPr>
            <w:tcW w:w="154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19E68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lastRenderedPageBreak/>
              <w:t>Absence of Oedema</w:t>
            </w:r>
          </w:p>
        </w:tc>
        <w:tc>
          <w:tcPr>
            <w:tcW w:w="1580"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28FD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Marasmic</w:t>
            </w:r>
            <w:r>
              <w:rPr>
                <w:rFonts w:ascii="DejaVu Sans" w:eastAsia="DejaVu Sans" w:hAnsi="DejaVu Sans" w:cs="DejaVu Sans"/>
                <w:color w:val="000000"/>
                <w:sz w:val="20"/>
                <w:szCs w:val="20"/>
              </w:rPr>
              <w:br/>
              <w:t xml:space="preserve"> 10</w:t>
            </w:r>
            <w:r>
              <w:rPr>
                <w:rFonts w:ascii="DejaVu Sans" w:eastAsia="DejaVu Sans" w:hAnsi="DejaVu Sans" w:cs="DejaVu Sans"/>
                <w:color w:val="000000"/>
                <w:sz w:val="20"/>
                <w:szCs w:val="20"/>
              </w:rPr>
              <w:br/>
              <w:t>(2.3%)</w:t>
            </w:r>
          </w:p>
        </w:tc>
        <w:tc>
          <w:tcPr>
            <w:tcW w:w="187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84EDE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Not severely malnourished</w:t>
            </w:r>
            <w:r>
              <w:rPr>
                <w:rFonts w:ascii="DejaVu Sans" w:eastAsia="DejaVu Sans" w:hAnsi="DejaVu Sans" w:cs="DejaVu Sans"/>
                <w:color w:val="000000"/>
                <w:sz w:val="20"/>
                <w:szCs w:val="20"/>
              </w:rPr>
              <w:br/>
              <w:t>434</w:t>
            </w:r>
            <w:r>
              <w:rPr>
                <w:rFonts w:ascii="DejaVu Sans" w:eastAsia="DejaVu Sans" w:hAnsi="DejaVu Sans" w:cs="DejaVu Sans"/>
                <w:color w:val="000000"/>
                <w:sz w:val="20"/>
                <w:szCs w:val="20"/>
              </w:rPr>
              <w:br/>
              <w:t>(97.7%)</w:t>
            </w:r>
          </w:p>
        </w:tc>
      </w:tr>
    </w:tbl>
    <w:p w14:paraId="31163685" w14:textId="2E8D46D4" w:rsidR="00BC28CE" w:rsidRDefault="00000000" w:rsidP="00BD4237">
      <w:pPr>
        <w:jc w:val="both"/>
      </w:pPr>
      <w:r>
        <w:br/>
      </w:r>
      <w:r w:rsidR="00BD4237" w:rsidRPr="00BD4237">
        <w:t>The prevalence of global acute malnutrition (GAM) and moderate acute malnutrition (MAM) among children aged 6-59 months, assessed using mid-upper arm circumference (MUAC), was examined. GAM, defined as MUAC &lt; 125 mm and/or presence of oedema, was found in 1.8% of all children, with slightly higher prevalence among boys (2.1%) compared to girls (1.4%). Similarly, MAM, indicated by MUAC &lt; 125 mm and ≥ 115 mm with no oedema, affected 1.1% of all children, with comparable rates between boys (1.3%) and girls (0.9%). Severe acute malnutrition (SAM), characterized by MUAC &lt; 115 mm and/or presence of oedema, was observed in 0.7% of children, with a slightly higher prevalence among boys (0.9%) than girls (0.5%).</w:t>
      </w:r>
    </w:p>
    <w:p w14:paraId="3C3652E6"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94" w:name="_Toc161945724"/>
      <w:r>
        <w:rPr>
          <w:b/>
        </w:rPr>
        <w:t xml:space="preserve">Table </w:t>
      </w:r>
      <w:bookmarkStart w:id="95" w:name="malnourished-by-sex-muac"/>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15</w:t>
      </w:r>
      <w:r>
        <w:rPr>
          <w:b/>
        </w:rPr>
        <w:fldChar w:fldCharType="end"/>
      </w:r>
      <w:bookmarkEnd w:id="95"/>
      <w:r>
        <w:rPr>
          <w:b/>
        </w:rPr>
        <w:t xml:space="preserve">: </w:t>
      </w:r>
      <w:r>
        <w:t xml:space="preserve">Prevalence of acute malnutrition based on MUAC cut off's (and/or oedema) and by </w:t>
      </w:r>
      <w:proofErr w:type="gramStart"/>
      <w:r>
        <w:t>sex</w:t>
      </w:r>
      <w:bookmarkEnd w:id="94"/>
      <w:proofErr w:type="gramEnd"/>
    </w:p>
    <w:tbl>
      <w:tblPr>
        <w:tblW w:w="5000" w:type="pct"/>
        <w:jc w:val="center"/>
        <w:tblLook w:val="0420" w:firstRow="1" w:lastRow="0" w:firstColumn="0" w:lastColumn="0" w:noHBand="0" w:noVBand="1"/>
      </w:tblPr>
      <w:tblGrid>
        <w:gridCol w:w="3808"/>
        <w:gridCol w:w="1844"/>
        <w:gridCol w:w="1844"/>
        <w:gridCol w:w="1844"/>
      </w:tblGrid>
      <w:tr w:rsidR="00BC28CE" w14:paraId="7744BD14" w14:textId="77777777" w:rsidTr="00BD4237">
        <w:trPr>
          <w:tblHeader/>
          <w:jc w:val="center"/>
        </w:trPr>
        <w:tc>
          <w:tcPr>
            <w:tcW w:w="2039"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B171F7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987"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11DFC6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All</w:t>
            </w:r>
            <w:r>
              <w:rPr>
                <w:rFonts w:ascii="DejaVu Sans" w:eastAsia="DejaVu Sans" w:hAnsi="DejaVu Sans" w:cs="DejaVu Sans"/>
                <w:b/>
                <w:color w:val="FFFFFF"/>
                <w:sz w:val="20"/>
                <w:szCs w:val="20"/>
              </w:rPr>
              <w:br/>
              <w:t>(N=447)</w:t>
            </w:r>
          </w:p>
        </w:tc>
        <w:tc>
          <w:tcPr>
            <w:tcW w:w="987"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667F64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Boys</w:t>
            </w:r>
            <w:r>
              <w:rPr>
                <w:rFonts w:ascii="DejaVu Sans" w:eastAsia="DejaVu Sans" w:hAnsi="DejaVu Sans" w:cs="DejaVu Sans"/>
                <w:b/>
                <w:color w:val="FFFFFF"/>
                <w:sz w:val="20"/>
                <w:szCs w:val="20"/>
              </w:rPr>
              <w:br/>
              <w:t>(N=233)</w:t>
            </w:r>
          </w:p>
        </w:tc>
        <w:tc>
          <w:tcPr>
            <w:tcW w:w="987"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D5F978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Girls</w:t>
            </w:r>
            <w:r>
              <w:rPr>
                <w:rFonts w:ascii="DejaVu Sans" w:eastAsia="DejaVu Sans" w:hAnsi="DejaVu Sans" w:cs="DejaVu Sans"/>
                <w:b/>
                <w:color w:val="FFFFFF"/>
                <w:sz w:val="20"/>
                <w:szCs w:val="20"/>
              </w:rPr>
              <w:br/>
              <w:t>(N=214)</w:t>
            </w:r>
          </w:p>
        </w:tc>
      </w:tr>
      <w:tr w:rsidR="00BC28CE" w14:paraId="171ECEAB" w14:textId="77777777" w:rsidTr="00BD4237">
        <w:trPr>
          <w:jc w:val="center"/>
        </w:trPr>
        <w:tc>
          <w:tcPr>
            <w:tcW w:w="2039"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3169A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 malnutrition</w:t>
            </w:r>
          </w:p>
        </w:tc>
        <w:tc>
          <w:tcPr>
            <w:tcW w:w="98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5304D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(439) 98.2%</w:t>
            </w:r>
            <w:r>
              <w:rPr>
                <w:rFonts w:ascii="DejaVu Sans" w:eastAsia="DejaVu Sans" w:hAnsi="DejaVu Sans" w:cs="DejaVu Sans"/>
                <w:color w:val="000000"/>
                <w:sz w:val="20"/>
                <w:szCs w:val="20"/>
              </w:rPr>
              <w:br/>
              <w:t>(96.3%, 99.2%)</w:t>
            </w:r>
          </w:p>
        </w:tc>
        <w:tc>
          <w:tcPr>
            <w:tcW w:w="98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1811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(228) 97.9%</w:t>
            </w:r>
            <w:r>
              <w:rPr>
                <w:rFonts w:ascii="DejaVu Sans" w:eastAsia="DejaVu Sans" w:hAnsi="DejaVu Sans" w:cs="DejaVu Sans"/>
                <w:color w:val="000000"/>
                <w:sz w:val="20"/>
                <w:szCs w:val="20"/>
              </w:rPr>
              <w:br/>
              <w:t>(94.1%, 99.2%)</w:t>
            </w:r>
          </w:p>
        </w:tc>
        <w:tc>
          <w:tcPr>
            <w:tcW w:w="98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65B0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(211) 98.6%</w:t>
            </w:r>
            <w:r>
              <w:rPr>
                <w:rFonts w:ascii="DejaVu Sans" w:eastAsia="DejaVu Sans" w:hAnsi="DejaVu Sans" w:cs="DejaVu Sans"/>
                <w:color w:val="000000"/>
                <w:sz w:val="20"/>
                <w:szCs w:val="20"/>
              </w:rPr>
              <w:br/>
              <w:t>(95.7%, 99.6%)</w:t>
            </w:r>
          </w:p>
        </w:tc>
      </w:tr>
      <w:tr w:rsidR="00BC28CE" w14:paraId="61CF7A5E" w14:textId="77777777" w:rsidTr="00BD4237">
        <w:trPr>
          <w:jc w:val="center"/>
        </w:trPr>
        <w:tc>
          <w:tcPr>
            <w:tcW w:w="2039"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3EB2C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global acute malnutrition (&lt; 125 mm and/or oedema)</w:t>
            </w:r>
          </w:p>
        </w:tc>
        <w:tc>
          <w:tcPr>
            <w:tcW w:w="98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1A9F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 1.8%</w:t>
            </w:r>
            <w:r>
              <w:rPr>
                <w:rFonts w:ascii="DejaVu Sans" w:eastAsia="DejaVu Sans" w:hAnsi="DejaVu Sans" w:cs="DejaVu Sans"/>
                <w:color w:val="000000"/>
                <w:sz w:val="20"/>
                <w:szCs w:val="20"/>
              </w:rPr>
              <w:br/>
              <w:t>(0.8%, 3.7%)</w:t>
            </w:r>
          </w:p>
        </w:tc>
        <w:tc>
          <w:tcPr>
            <w:tcW w:w="98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855B6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(5) 2.1%</w:t>
            </w:r>
            <w:r>
              <w:rPr>
                <w:rFonts w:ascii="DejaVu Sans" w:eastAsia="DejaVu Sans" w:hAnsi="DejaVu Sans" w:cs="DejaVu Sans"/>
                <w:color w:val="000000"/>
                <w:sz w:val="20"/>
                <w:szCs w:val="20"/>
              </w:rPr>
              <w:br/>
              <w:t>(0.8%, 5.9%)</w:t>
            </w:r>
          </w:p>
        </w:tc>
        <w:tc>
          <w:tcPr>
            <w:tcW w:w="98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4C1B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 1.4%</w:t>
            </w:r>
            <w:r>
              <w:rPr>
                <w:rFonts w:ascii="DejaVu Sans" w:eastAsia="DejaVu Sans" w:hAnsi="DejaVu Sans" w:cs="DejaVu Sans"/>
                <w:color w:val="000000"/>
                <w:sz w:val="20"/>
                <w:szCs w:val="20"/>
              </w:rPr>
              <w:br/>
              <w:t>(0.4%, 4.3%)</w:t>
            </w:r>
          </w:p>
        </w:tc>
      </w:tr>
      <w:tr w:rsidR="00BC28CE" w14:paraId="137FFA6C" w14:textId="77777777" w:rsidTr="00BD4237">
        <w:trPr>
          <w:jc w:val="center"/>
        </w:trPr>
        <w:tc>
          <w:tcPr>
            <w:tcW w:w="2039"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F9647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moderate acute malnutrition (&lt; 125 and ≥ 115 mm, no oedema)</w:t>
            </w:r>
          </w:p>
        </w:tc>
        <w:tc>
          <w:tcPr>
            <w:tcW w:w="98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544E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(5) 1.1%</w:t>
            </w:r>
            <w:r>
              <w:rPr>
                <w:rFonts w:ascii="DejaVu Sans" w:eastAsia="DejaVu Sans" w:hAnsi="DejaVu Sans" w:cs="DejaVu Sans"/>
                <w:color w:val="000000"/>
                <w:sz w:val="20"/>
                <w:szCs w:val="20"/>
              </w:rPr>
              <w:br/>
              <w:t>(0.4%, 3.1%)</w:t>
            </w:r>
          </w:p>
        </w:tc>
        <w:tc>
          <w:tcPr>
            <w:tcW w:w="98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44A3C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 1.3%</w:t>
            </w:r>
            <w:r>
              <w:rPr>
                <w:rFonts w:ascii="DejaVu Sans" w:eastAsia="DejaVu Sans" w:hAnsi="DejaVu Sans" w:cs="DejaVu Sans"/>
                <w:color w:val="000000"/>
                <w:sz w:val="20"/>
                <w:szCs w:val="20"/>
              </w:rPr>
              <w:br/>
              <w:t>(0.3%, 5.6%)</w:t>
            </w:r>
          </w:p>
        </w:tc>
        <w:tc>
          <w:tcPr>
            <w:tcW w:w="98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0FFD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 0.9%</w:t>
            </w:r>
            <w:r>
              <w:rPr>
                <w:rFonts w:ascii="DejaVu Sans" w:eastAsia="DejaVu Sans" w:hAnsi="DejaVu Sans" w:cs="DejaVu Sans"/>
                <w:color w:val="000000"/>
                <w:sz w:val="20"/>
                <w:szCs w:val="20"/>
              </w:rPr>
              <w:br/>
              <w:t>(0.2%, 3.7%)</w:t>
            </w:r>
          </w:p>
        </w:tc>
      </w:tr>
      <w:tr w:rsidR="00BC28CE" w14:paraId="502DC565" w14:textId="77777777" w:rsidTr="00BD4237">
        <w:trPr>
          <w:jc w:val="center"/>
        </w:trPr>
        <w:tc>
          <w:tcPr>
            <w:tcW w:w="2039"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FB6CB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severe acute malnutrition (&lt; 115 mm and/or oedema)</w:t>
            </w:r>
          </w:p>
        </w:tc>
        <w:tc>
          <w:tcPr>
            <w:tcW w:w="98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9815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 0.7%</w:t>
            </w:r>
            <w:r>
              <w:rPr>
                <w:rFonts w:ascii="DejaVu Sans" w:eastAsia="DejaVu Sans" w:hAnsi="DejaVu Sans" w:cs="DejaVu Sans"/>
                <w:color w:val="000000"/>
                <w:sz w:val="20"/>
                <w:szCs w:val="20"/>
              </w:rPr>
              <w:br/>
              <w:t>(0.2%, 2.1%)</w:t>
            </w:r>
          </w:p>
        </w:tc>
        <w:tc>
          <w:tcPr>
            <w:tcW w:w="98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74113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 0.9%</w:t>
            </w:r>
            <w:r>
              <w:rPr>
                <w:rFonts w:ascii="DejaVu Sans" w:eastAsia="DejaVu Sans" w:hAnsi="DejaVu Sans" w:cs="DejaVu Sans"/>
                <w:color w:val="000000"/>
                <w:sz w:val="20"/>
                <w:szCs w:val="20"/>
              </w:rPr>
              <w:br/>
              <w:t>(0.2%, 3.4%)</w:t>
            </w:r>
          </w:p>
        </w:tc>
        <w:tc>
          <w:tcPr>
            <w:tcW w:w="98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C44F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 0.5%</w:t>
            </w:r>
            <w:r>
              <w:rPr>
                <w:rFonts w:ascii="DejaVu Sans" w:eastAsia="DejaVu Sans" w:hAnsi="DejaVu Sans" w:cs="DejaVu Sans"/>
                <w:color w:val="000000"/>
                <w:sz w:val="20"/>
                <w:szCs w:val="20"/>
              </w:rPr>
              <w:br/>
              <w:t>(0.1%, 3.5%)</w:t>
            </w:r>
          </w:p>
        </w:tc>
      </w:tr>
    </w:tbl>
    <w:p w14:paraId="06FA8B5C" w14:textId="6818FF36" w:rsidR="00BC28CE" w:rsidRDefault="00BD4237" w:rsidP="00BD4237">
      <w:r w:rsidRPr="00BD4237">
        <w:t>The prevalence of malnutrition indicators varied across different age cohorts. As the age cohorts progressed, the prevalence of malnutrition indicators generally decreased. Overall, there was a decline in the prevalence of malnutrition indicators as children aged</w:t>
      </w:r>
      <w:r>
        <w:t xml:space="preserve">. </w:t>
      </w:r>
      <w:r w:rsidR="00000000">
        <w:br/>
      </w:r>
    </w:p>
    <w:p w14:paraId="54C10FD4"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96" w:name="_Toc161945725"/>
      <w:r>
        <w:rPr>
          <w:b/>
        </w:rPr>
        <w:t xml:space="preserve">Table </w:t>
      </w:r>
      <w:bookmarkStart w:id="97" w:name="malnourished-by-age-muac"/>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16</w:t>
      </w:r>
      <w:r>
        <w:rPr>
          <w:b/>
        </w:rPr>
        <w:fldChar w:fldCharType="end"/>
      </w:r>
      <w:bookmarkEnd w:id="97"/>
      <w:r>
        <w:rPr>
          <w:b/>
        </w:rPr>
        <w:t xml:space="preserve">: </w:t>
      </w:r>
      <w:r>
        <w:t>Prevalence of Acute Malnutrition per MUAC and/or Oedema by Severity and Age Group</w:t>
      </w:r>
      <w:bookmarkEnd w:id="96"/>
    </w:p>
    <w:tbl>
      <w:tblPr>
        <w:tblW w:w="5000" w:type="pct"/>
        <w:jc w:val="center"/>
        <w:tblLook w:val="0420" w:firstRow="1" w:lastRow="0" w:firstColumn="0" w:lastColumn="0" w:noHBand="0" w:noVBand="1"/>
      </w:tblPr>
      <w:tblGrid>
        <w:gridCol w:w="1865"/>
        <w:gridCol w:w="642"/>
        <w:gridCol w:w="779"/>
        <w:gridCol w:w="1354"/>
        <w:gridCol w:w="351"/>
        <w:gridCol w:w="824"/>
        <w:gridCol w:w="351"/>
        <w:gridCol w:w="824"/>
        <w:gridCol w:w="351"/>
        <w:gridCol w:w="824"/>
        <w:gridCol w:w="351"/>
        <w:gridCol w:w="824"/>
      </w:tblGrid>
      <w:tr w:rsidR="00BC28CE" w14:paraId="4D70064B" w14:textId="77777777" w:rsidTr="00BD4237">
        <w:trPr>
          <w:tblHeader/>
          <w:jc w:val="center"/>
        </w:trPr>
        <w:tc>
          <w:tcPr>
            <w:tcW w:w="998" w:type="pct"/>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D8915D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Age (Months)</w:t>
            </w:r>
          </w:p>
        </w:tc>
        <w:tc>
          <w:tcPr>
            <w:tcW w:w="343" w:type="pct"/>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F17296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w:t>
            </w:r>
          </w:p>
        </w:tc>
        <w:tc>
          <w:tcPr>
            <w:tcW w:w="1142"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69B2D08"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No malnutrition</w:t>
            </w:r>
          </w:p>
        </w:tc>
        <w:tc>
          <w:tcPr>
            <w:tcW w:w="629"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A1B479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GAM</w:t>
            </w:r>
          </w:p>
        </w:tc>
        <w:tc>
          <w:tcPr>
            <w:tcW w:w="629"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397960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MAM</w:t>
            </w:r>
          </w:p>
        </w:tc>
        <w:tc>
          <w:tcPr>
            <w:tcW w:w="629"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9642AC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SAM</w:t>
            </w:r>
          </w:p>
        </w:tc>
        <w:tc>
          <w:tcPr>
            <w:tcW w:w="629"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22CA7ED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Oedema</w:t>
            </w:r>
          </w:p>
        </w:tc>
      </w:tr>
      <w:tr w:rsidR="00BC28CE" w14:paraId="384595B5" w14:textId="77777777" w:rsidTr="00BD4237">
        <w:trPr>
          <w:tblHeader/>
          <w:jc w:val="center"/>
        </w:trPr>
        <w:tc>
          <w:tcPr>
            <w:tcW w:w="998" w:type="pct"/>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AE5A70"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343" w:type="pct"/>
            <w:vMerge/>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4D069CF"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jc w:val="center"/>
            </w:pPr>
          </w:p>
        </w:tc>
        <w:tc>
          <w:tcPr>
            <w:tcW w:w="417"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4A77EBF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725"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5A50ED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18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83653D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441"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73A8EB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18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C81936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441"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201254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18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1009BA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441"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F5FC3E8"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18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7EB999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441"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4470D91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r>
      <w:tr w:rsidR="00BC28CE" w14:paraId="66E53ED7" w14:textId="77777777" w:rsidTr="00BD4237">
        <w:trPr>
          <w:jc w:val="center"/>
        </w:trPr>
        <w:tc>
          <w:tcPr>
            <w:tcW w:w="9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8D23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gramStart"/>
            <w:r>
              <w:rPr>
                <w:rFonts w:ascii="DejaVu Sans" w:eastAsia="DejaVu Sans" w:hAnsi="DejaVu Sans" w:cs="DejaVu Sans"/>
                <w:color w:val="000000"/>
                <w:sz w:val="20"/>
                <w:szCs w:val="20"/>
              </w:rPr>
              <w:t>6  to</w:t>
            </w:r>
            <w:proofErr w:type="gramEnd"/>
            <w:r>
              <w:rPr>
                <w:rFonts w:ascii="DejaVu Sans" w:eastAsia="DejaVu Sans" w:hAnsi="DejaVu Sans" w:cs="DejaVu Sans"/>
                <w:color w:val="000000"/>
                <w:sz w:val="20"/>
                <w:szCs w:val="20"/>
              </w:rPr>
              <w:t xml:space="preserve"> 17</w:t>
            </w:r>
          </w:p>
        </w:tc>
        <w:tc>
          <w:tcPr>
            <w:tcW w:w="34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A0BB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97</w:t>
            </w:r>
          </w:p>
        </w:tc>
        <w:tc>
          <w:tcPr>
            <w:tcW w:w="4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371C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91</w:t>
            </w:r>
          </w:p>
        </w:tc>
        <w:tc>
          <w:tcPr>
            <w:tcW w:w="72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5BB9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93.8%</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0E0CF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9116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6.2%</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11B3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30AC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3.1%</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5641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01602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3.1%</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779E5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76B40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69490FDC" w14:textId="77777777" w:rsidTr="00BD4237">
        <w:trPr>
          <w:jc w:val="center"/>
        </w:trPr>
        <w:tc>
          <w:tcPr>
            <w:tcW w:w="9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3A8B73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18 to 29</w:t>
            </w:r>
          </w:p>
        </w:tc>
        <w:tc>
          <w:tcPr>
            <w:tcW w:w="34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889A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108</w:t>
            </w:r>
          </w:p>
        </w:tc>
        <w:tc>
          <w:tcPr>
            <w:tcW w:w="4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A200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106</w:t>
            </w:r>
          </w:p>
        </w:tc>
        <w:tc>
          <w:tcPr>
            <w:tcW w:w="72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F1E8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98.1%</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5F49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3A227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1.9%</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DE1F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72ADE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1.9%</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875B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BFC8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77A88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8820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597595D9" w14:textId="77777777" w:rsidTr="00BD4237">
        <w:trPr>
          <w:jc w:val="center"/>
        </w:trPr>
        <w:tc>
          <w:tcPr>
            <w:tcW w:w="9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F24D0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lastRenderedPageBreak/>
              <w:t>30 to 41</w:t>
            </w:r>
          </w:p>
        </w:tc>
        <w:tc>
          <w:tcPr>
            <w:tcW w:w="34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80F0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105</w:t>
            </w:r>
          </w:p>
        </w:tc>
        <w:tc>
          <w:tcPr>
            <w:tcW w:w="4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18F00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105</w:t>
            </w:r>
          </w:p>
        </w:tc>
        <w:tc>
          <w:tcPr>
            <w:tcW w:w="72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2461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C5717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9F91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D93C0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444B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2248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1564B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ABAA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2B01D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619616D4" w14:textId="77777777" w:rsidTr="00BD4237">
        <w:trPr>
          <w:jc w:val="center"/>
        </w:trPr>
        <w:tc>
          <w:tcPr>
            <w:tcW w:w="9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F0290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42 to 53</w:t>
            </w:r>
          </w:p>
        </w:tc>
        <w:tc>
          <w:tcPr>
            <w:tcW w:w="34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69BE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96</w:t>
            </w:r>
          </w:p>
        </w:tc>
        <w:tc>
          <w:tcPr>
            <w:tcW w:w="4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B704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96</w:t>
            </w:r>
          </w:p>
        </w:tc>
        <w:tc>
          <w:tcPr>
            <w:tcW w:w="72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35F7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100.0%</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5859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6ABF6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63CA27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325C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0E5C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3FFE9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B474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EFE0F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7B8E7618" w14:textId="77777777" w:rsidTr="00BD4237">
        <w:trPr>
          <w:jc w:val="center"/>
        </w:trPr>
        <w:tc>
          <w:tcPr>
            <w:tcW w:w="9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5F6BE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54 to 59</w:t>
            </w:r>
          </w:p>
        </w:tc>
        <w:tc>
          <w:tcPr>
            <w:tcW w:w="34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5F9D5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41</w:t>
            </w:r>
          </w:p>
        </w:tc>
        <w:tc>
          <w:tcPr>
            <w:tcW w:w="4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6E86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41</w:t>
            </w:r>
          </w:p>
        </w:tc>
        <w:tc>
          <w:tcPr>
            <w:tcW w:w="725"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72F5F3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63EE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BE058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E75F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416F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B5166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C621D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c>
          <w:tcPr>
            <w:tcW w:w="18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0D63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9F3A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4045F311" w14:textId="77777777" w:rsidTr="00BD4237">
        <w:trPr>
          <w:jc w:val="center"/>
        </w:trPr>
        <w:tc>
          <w:tcPr>
            <w:tcW w:w="9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556A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All</w:t>
            </w:r>
          </w:p>
        </w:tc>
        <w:tc>
          <w:tcPr>
            <w:tcW w:w="34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D1A3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447</w:t>
            </w:r>
          </w:p>
        </w:tc>
        <w:tc>
          <w:tcPr>
            <w:tcW w:w="4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82E2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439</w:t>
            </w:r>
          </w:p>
        </w:tc>
        <w:tc>
          <w:tcPr>
            <w:tcW w:w="72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4575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98.2%</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AEF6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2720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D22F7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5</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7EA46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276AD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F896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0.7%</w:t>
            </w:r>
          </w:p>
        </w:tc>
        <w:tc>
          <w:tcPr>
            <w:tcW w:w="18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B96F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44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8EABC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bl>
    <w:p w14:paraId="568AB601" w14:textId="0A03605B" w:rsidR="00BC28CE" w:rsidRDefault="00000000" w:rsidP="006D373D">
      <w:pPr>
        <w:jc w:val="both"/>
      </w:pPr>
      <w:r>
        <w:br/>
      </w:r>
      <w:r w:rsidR="006D373D" w:rsidRPr="006D373D">
        <w:t xml:space="preserve">The table </w:t>
      </w:r>
      <w:r w:rsidR="006D373D">
        <w:t xml:space="preserve">below </w:t>
      </w:r>
      <w:r w:rsidR="006D373D" w:rsidRPr="006D373D">
        <w:t xml:space="preserve">presents the prevalence of combined global acute malnutrition (GAM) and severe acute malnutrition (SAM) among children, considering multiple anthropometric indicators including weight-for-height Z-score (WHZ), mid-upper arm circumference (MUAC), and presence of edema. Overall, the prevalence of combined GAM was 14.1%, while the prevalence of combined SAM was 2.7%. When disaggregated by gender, boys had a slightly higher prevalence of both combined GAM (16.3%) and combined SAM (3.4%) compared to girls, with prevalences of 11.7% and 1.9% respectively. </w:t>
      </w:r>
      <w:r w:rsidR="006D373D">
        <w:t>B</w:t>
      </w:r>
      <w:r w:rsidR="006D373D" w:rsidRPr="006D373D">
        <w:t>oys exhibit</w:t>
      </w:r>
      <w:r w:rsidR="006D373D">
        <w:t>ed</w:t>
      </w:r>
      <w:r w:rsidR="006D373D" w:rsidRPr="006D373D">
        <w:t xml:space="preserve"> slightly higher rates than girls. Additionally, it underscores the importance of considering multiple indicators to accurately assess and address malnutrition in </w:t>
      </w:r>
      <w:r w:rsidR="006D373D" w:rsidRPr="006D373D">
        <w:t>children.</w:t>
      </w:r>
    </w:p>
    <w:p w14:paraId="2275349C"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98" w:name="_Toc161945726"/>
      <w:r>
        <w:rPr>
          <w:b/>
        </w:rPr>
        <w:t xml:space="preserve">Table </w:t>
      </w:r>
      <w:bookmarkStart w:id="99" w:name="malnourished-by-sex-combined"/>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17</w:t>
      </w:r>
      <w:r>
        <w:rPr>
          <w:b/>
        </w:rPr>
        <w:fldChar w:fldCharType="end"/>
      </w:r>
      <w:bookmarkEnd w:id="99"/>
      <w:r>
        <w:rPr>
          <w:b/>
        </w:rPr>
        <w:t xml:space="preserve">: </w:t>
      </w:r>
      <w:r>
        <w:t xml:space="preserve">Prevalence of combined GAM and SAM based on WHZ and MUAC cut off's (and/or oedema) and by </w:t>
      </w:r>
      <w:proofErr w:type="gramStart"/>
      <w:r>
        <w:t>sex</w:t>
      </w:r>
      <w:bookmarkEnd w:id="98"/>
      <w:proofErr w:type="gramEnd"/>
    </w:p>
    <w:tbl>
      <w:tblPr>
        <w:tblW w:w="5000" w:type="pct"/>
        <w:jc w:val="center"/>
        <w:tblLook w:val="0420" w:firstRow="1" w:lastRow="0" w:firstColumn="0" w:lastColumn="0" w:noHBand="0" w:noVBand="1"/>
      </w:tblPr>
      <w:tblGrid>
        <w:gridCol w:w="3935"/>
        <w:gridCol w:w="1844"/>
        <w:gridCol w:w="1844"/>
        <w:gridCol w:w="1717"/>
      </w:tblGrid>
      <w:tr w:rsidR="00BC28CE" w14:paraId="10BF402D" w14:textId="77777777" w:rsidTr="00BD4237">
        <w:trPr>
          <w:tblHeader/>
          <w:jc w:val="center"/>
        </w:trPr>
        <w:tc>
          <w:tcPr>
            <w:tcW w:w="2231"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56FFBE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92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41F550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All</w:t>
            </w:r>
            <w:r>
              <w:rPr>
                <w:rFonts w:ascii="DejaVu Sans" w:eastAsia="DejaVu Sans" w:hAnsi="DejaVu Sans" w:cs="DejaVu Sans"/>
                <w:b/>
                <w:color w:val="FFFFFF"/>
                <w:sz w:val="20"/>
                <w:szCs w:val="20"/>
              </w:rPr>
              <w:br/>
              <w:t>(N=447)</w:t>
            </w:r>
          </w:p>
        </w:tc>
        <w:tc>
          <w:tcPr>
            <w:tcW w:w="92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10D1F3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Boys</w:t>
            </w:r>
            <w:r>
              <w:rPr>
                <w:rFonts w:ascii="DejaVu Sans" w:eastAsia="DejaVu Sans" w:hAnsi="DejaVu Sans" w:cs="DejaVu Sans"/>
                <w:b/>
                <w:color w:val="FFFFFF"/>
                <w:sz w:val="20"/>
                <w:szCs w:val="20"/>
              </w:rPr>
              <w:br/>
              <w:t>(N=233)</w:t>
            </w:r>
          </w:p>
        </w:tc>
        <w:tc>
          <w:tcPr>
            <w:tcW w:w="923"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F746E7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Girls</w:t>
            </w:r>
            <w:r>
              <w:rPr>
                <w:rFonts w:ascii="DejaVu Sans" w:eastAsia="DejaVu Sans" w:hAnsi="DejaVu Sans" w:cs="DejaVu Sans"/>
                <w:b/>
                <w:color w:val="FFFFFF"/>
                <w:sz w:val="20"/>
                <w:szCs w:val="20"/>
              </w:rPr>
              <w:br/>
              <w:t>(N=214)</w:t>
            </w:r>
          </w:p>
        </w:tc>
      </w:tr>
      <w:tr w:rsidR="00BC28CE" w14:paraId="0E36BEBF" w14:textId="77777777" w:rsidTr="00BD4237">
        <w:trPr>
          <w:jc w:val="center"/>
        </w:trPr>
        <w:tc>
          <w:tcPr>
            <w:tcW w:w="2231"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40DA9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combined GAM (WHZ &lt;-2 and/or MUAC &lt; 125 mm and/or oedema)</w:t>
            </w:r>
          </w:p>
        </w:tc>
        <w:tc>
          <w:tcPr>
            <w:tcW w:w="92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2CAB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(63) 14.1%</w:t>
            </w:r>
            <w:r>
              <w:rPr>
                <w:rFonts w:ascii="DejaVu Sans" w:eastAsia="DejaVu Sans" w:hAnsi="DejaVu Sans" w:cs="DejaVu Sans"/>
                <w:color w:val="000000"/>
                <w:sz w:val="20"/>
                <w:szCs w:val="20"/>
              </w:rPr>
              <w:br/>
              <w:t>(10.9%, 18.0%)</w:t>
            </w:r>
          </w:p>
        </w:tc>
        <w:tc>
          <w:tcPr>
            <w:tcW w:w="92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C308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(38) 16.3%</w:t>
            </w:r>
            <w:r>
              <w:rPr>
                <w:rFonts w:ascii="DejaVu Sans" w:eastAsia="DejaVu Sans" w:hAnsi="DejaVu Sans" w:cs="DejaVu Sans"/>
                <w:color w:val="000000"/>
                <w:sz w:val="20"/>
                <w:szCs w:val="20"/>
              </w:rPr>
              <w:br/>
              <w:t>(12.2%, 21.4%)</w:t>
            </w:r>
          </w:p>
        </w:tc>
        <w:tc>
          <w:tcPr>
            <w:tcW w:w="923"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30C6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(25) 11.7%</w:t>
            </w:r>
            <w:r>
              <w:rPr>
                <w:rFonts w:ascii="DejaVu Sans" w:eastAsia="DejaVu Sans" w:hAnsi="DejaVu Sans" w:cs="DejaVu Sans"/>
                <w:color w:val="000000"/>
                <w:sz w:val="20"/>
                <w:szCs w:val="20"/>
              </w:rPr>
              <w:br/>
              <w:t>(7.3%, 18.3%)</w:t>
            </w:r>
          </w:p>
        </w:tc>
      </w:tr>
      <w:tr w:rsidR="00BC28CE" w14:paraId="0ED4D6DA" w14:textId="77777777" w:rsidTr="00BD4237">
        <w:trPr>
          <w:jc w:val="center"/>
        </w:trPr>
        <w:tc>
          <w:tcPr>
            <w:tcW w:w="2231"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5405A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combined SAM (WHZ &lt;-2 and/or MUAC &lt; 125 mm and/or oedema)</w:t>
            </w:r>
          </w:p>
        </w:tc>
        <w:tc>
          <w:tcPr>
            <w:tcW w:w="92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E2E4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 2.7%</w:t>
            </w:r>
            <w:r>
              <w:rPr>
                <w:rFonts w:ascii="DejaVu Sans" w:eastAsia="DejaVu Sans" w:hAnsi="DejaVu Sans" w:cs="DejaVu Sans"/>
                <w:color w:val="000000"/>
                <w:sz w:val="20"/>
                <w:szCs w:val="20"/>
              </w:rPr>
              <w:br/>
              <w:t>(1.6%, 4.4%)</w:t>
            </w:r>
          </w:p>
        </w:tc>
        <w:tc>
          <w:tcPr>
            <w:tcW w:w="92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7268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 3.4%</w:t>
            </w:r>
            <w:r>
              <w:rPr>
                <w:rFonts w:ascii="DejaVu Sans" w:eastAsia="DejaVu Sans" w:hAnsi="DejaVu Sans" w:cs="DejaVu Sans"/>
                <w:color w:val="000000"/>
                <w:sz w:val="20"/>
                <w:szCs w:val="20"/>
              </w:rPr>
              <w:br/>
              <w:t>(1.8%, 6.4%)</w:t>
            </w:r>
          </w:p>
        </w:tc>
        <w:tc>
          <w:tcPr>
            <w:tcW w:w="923"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2A24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 1.9%</w:t>
            </w:r>
            <w:r>
              <w:rPr>
                <w:rFonts w:ascii="DejaVu Sans" w:eastAsia="DejaVu Sans" w:hAnsi="DejaVu Sans" w:cs="DejaVu Sans"/>
                <w:color w:val="000000"/>
                <w:sz w:val="20"/>
                <w:szCs w:val="20"/>
              </w:rPr>
              <w:br/>
              <w:t>(0.7%, 4.9%)</w:t>
            </w:r>
          </w:p>
        </w:tc>
      </w:tr>
      <w:tr w:rsidR="00BC28CE" w14:paraId="2B5E99BD" w14:textId="77777777" w:rsidTr="00BD4237">
        <w:trPr>
          <w:jc w:val="center"/>
        </w:trPr>
        <w:tc>
          <w:tcPr>
            <w:tcW w:w="5000" w:type="pct"/>
            <w:gridSpan w:val="4"/>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16433540"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DejaVu Sans" w:eastAsia="DejaVu Sans" w:hAnsi="DejaVu Sans" w:cs="DejaVu Sans"/>
                <w:i/>
                <w:color w:val="000000"/>
                <w:sz w:val="16"/>
                <w:szCs w:val="16"/>
              </w:rPr>
              <w:t xml:space="preserve"> *With SMART or WHO flags a missing MUAC/WHZ or not plausible WHZ value is considered as normal when the other value is available</w:t>
            </w:r>
          </w:p>
        </w:tc>
      </w:tr>
    </w:tbl>
    <w:p w14:paraId="673CB80E" w14:textId="720480AA" w:rsidR="00BC28CE" w:rsidRDefault="00BC28CE"/>
    <w:p w14:paraId="1F6DED7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00" w:name="_Toc161945727"/>
      <w:r>
        <w:rPr>
          <w:b/>
        </w:rPr>
        <w:t xml:space="preserve">Table </w:t>
      </w:r>
      <w:bookmarkStart w:id="101" w:name="cgam-breakdown"/>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18</w:t>
      </w:r>
      <w:r>
        <w:rPr>
          <w:b/>
        </w:rPr>
        <w:fldChar w:fldCharType="end"/>
      </w:r>
      <w:bookmarkEnd w:id="101"/>
      <w:r>
        <w:rPr>
          <w:b/>
        </w:rPr>
        <w:t xml:space="preserve">: </w:t>
      </w:r>
      <w:r>
        <w:t>Detailed number for combined GAM and SAM</w:t>
      </w:r>
      <w:bookmarkEnd w:id="100"/>
    </w:p>
    <w:tbl>
      <w:tblPr>
        <w:tblW w:w="5000" w:type="pct"/>
        <w:jc w:val="center"/>
        <w:tblLook w:val="0420" w:firstRow="1" w:lastRow="0" w:firstColumn="0" w:lastColumn="0" w:noHBand="0" w:noVBand="1"/>
      </w:tblPr>
      <w:tblGrid>
        <w:gridCol w:w="2186"/>
        <w:gridCol w:w="1192"/>
        <w:gridCol w:w="2385"/>
        <w:gridCol w:w="1192"/>
        <w:gridCol w:w="2385"/>
      </w:tblGrid>
      <w:tr w:rsidR="00BC28CE" w14:paraId="71602A4A" w14:textId="77777777" w:rsidTr="006D373D">
        <w:trPr>
          <w:tblHeader/>
          <w:jc w:val="center"/>
        </w:trPr>
        <w:tc>
          <w:tcPr>
            <w:tcW w:w="1170" w:type="pct"/>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73BDC26"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1915"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2E79898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Global Acute Malnutrition (GAM)</w:t>
            </w:r>
          </w:p>
        </w:tc>
        <w:tc>
          <w:tcPr>
            <w:tcW w:w="1915"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79EC7B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Severe Acute Malnutrition (SAM)</w:t>
            </w:r>
          </w:p>
        </w:tc>
      </w:tr>
      <w:tr w:rsidR="00BC28CE" w14:paraId="7E1A9C3E" w14:textId="77777777" w:rsidTr="006D373D">
        <w:trPr>
          <w:tblHeader/>
          <w:jc w:val="center"/>
        </w:trPr>
        <w:tc>
          <w:tcPr>
            <w:tcW w:w="1170" w:type="pct"/>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435A4A"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63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FEB70A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1277"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64E3B4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638"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244962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1277"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C41A9C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r>
      <w:tr w:rsidR="00BC28CE" w14:paraId="41A45DD6" w14:textId="77777777" w:rsidTr="006D373D">
        <w:trPr>
          <w:jc w:val="center"/>
        </w:trPr>
        <w:tc>
          <w:tcPr>
            <w:tcW w:w="1170"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DE8E0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Oedema</w:t>
            </w:r>
          </w:p>
        </w:tc>
        <w:tc>
          <w:tcPr>
            <w:tcW w:w="63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06B5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127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E5DAEB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r>
              <w:rPr>
                <w:rFonts w:ascii="DejaVu Sans" w:eastAsia="DejaVu Sans" w:hAnsi="DejaVu Sans" w:cs="DejaVu Sans"/>
                <w:color w:val="000000"/>
                <w:sz w:val="20"/>
                <w:szCs w:val="20"/>
              </w:rPr>
              <w:br/>
              <w:t>(0%, 0%)</w:t>
            </w:r>
          </w:p>
        </w:tc>
        <w:tc>
          <w:tcPr>
            <w:tcW w:w="63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044B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w:t>
            </w:r>
          </w:p>
        </w:tc>
        <w:tc>
          <w:tcPr>
            <w:tcW w:w="127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EE13B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r>
              <w:rPr>
                <w:rFonts w:ascii="DejaVu Sans" w:eastAsia="DejaVu Sans" w:hAnsi="DejaVu Sans" w:cs="DejaVu Sans"/>
                <w:color w:val="000000"/>
                <w:sz w:val="20"/>
                <w:szCs w:val="20"/>
              </w:rPr>
              <w:br/>
              <w:t>(0%, 0%)</w:t>
            </w:r>
          </w:p>
        </w:tc>
      </w:tr>
      <w:tr w:rsidR="00BC28CE" w14:paraId="76FCAFAC" w14:textId="77777777" w:rsidTr="006D373D">
        <w:trPr>
          <w:jc w:val="center"/>
        </w:trPr>
        <w:tc>
          <w:tcPr>
            <w:tcW w:w="1170"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9B09F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Both</w:t>
            </w:r>
          </w:p>
        </w:tc>
        <w:tc>
          <w:tcPr>
            <w:tcW w:w="63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F60D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w:t>
            </w:r>
          </w:p>
        </w:tc>
        <w:tc>
          <w:tcPr>
            <w:tcW w:w="127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6B96E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w:t>
            </w:r>
            <w:r>
              <w:rPr>
                <w:rFonts w:ascii="DejaVu Sans" w:eastAsia="DejaVu Sans" w:hAnsi="DejaVu Sans" w:cs="DejaVu Sans"/>
                <w:color w:val="000000"/>
                <w:sz w:val="20"/>
                <w:szCs w:val="20"/>
              </w:rPr>
              <w:br/>
              <w:t>(0.6%, 2.9%)</w:t>
            </w:r>
          </w:p>
        </w:tc>
        <w:tc>
          <w:tcPr>
            <w:tcW w:w="63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8A02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w:t>
            </w:r>
          </w:p>
        </w:tc>
        <w:tc>
          <w:tcPr>
            <w:tcW w:w="127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9854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0.2%</w:t>
            </w:r>
            <w:r>
              <w:rPr>
                <w:rFonts w:ascii="DejaVu Sans" w:eastAsia="DejaVu Sans" w:hAnsi="DejaVu Sans" w:cs="DejaVu Sans"/>
                <w:color w:val="000000"/>
                <w:sz w:val="20"/>
                <w:szCs w:val="20"/>
              </w:rPr>
              <w:br/>
              <w:t>(0.0%, 1.7%)</w:t>
            </w:r>
          </w:p>
        </w:tc>
      </w:tr>
      <w:tr w:rsidR="00BC28CE" w14:paraId="40FB4060" w14:textId="77777777" w:rsidTr="006D373D">
        <w:trPr>
          <w:jc w:val="center"/>
        </w:trPr>
        <w:tc>
          <w:tcPr>
            <w:tcW w:w="1170"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6EC50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lastRenderedPageBreak/>
              <w:t>WHZ</w:t>
            </w:r>
          </w:p>
        </w:tc>
        <w:tc>
          <w:tcPr>
            <w:tcW w:w="63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D236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55</w:t>
            </w:r>
          </w:p>
        </w:tc>
        <w:tc>
          <w:tcPr>
            <w:tcW w:w="127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91F37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12.3%</w:t>
            </w:r>
            <w:r>
              <w:rPr>
                <w:rFonts w:ascii="DejaVu Sans" w:eastAsia="DejaVu Sans" w:hAnsi="DejaVu Sans" w:cs="DejaVu Sans"/>
                <w:color w:val="000000"/>
                <w:sz w:val="20"/>
                <w:szCs w:val="20"/>
              </w:rPr>
              <w:br/>
              <w:t>(9.3%, 16.2%)</w:t>
            </w:r>
          </w:p>
        </w:tc>
        <w:tc>
          <w:tcPr>
            <w:tcW w:w="63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3626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w:t>
            </w:r>
          </w:p>
        </w:tc>
        <w:tc>
          <w:tcPr>
            <w:tcW w:w="127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76ECE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2.0%</w:t>
            </w:r>
            <w:r>
              <w:rPr>
                <w:rFonts w:ascii="DejaVu Sans" w:eastAsia="DejaVu Sans" w:hAnsi="DejaVu Sans" w:cs="DejaVu Sans"/>
                <w:color w:val="000000"/>
                <w:sz w:val="20"/>
                <w:szCs w:val="20"/>
              </w:rPr>
              <w:br/>
              <w:t>(1.1%, 3.7%)</w:t>
            </w:r>
          </w:p>
        </w:tc>
      </w:tr>
      <w:tr w:rsidR="00BC28CE" w14:paraId="05B893A8" w14:textId="77777777" w:rsidTr="006D373D">
        <w:trPr>
          <w:jc w:val="center"/>
        </w:trPr>
        <w:tc>
          <w:tcPr>
            <w:tcW w:w="1170"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1E17C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MUAC</w:t>
            </w:r>
          </w:p>
        </w:tc>
        <w:tc>
          <w:tcPr>
            <w:tcW w:w="63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82E9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127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4ED1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0.4%</w:t>
            </w:r>
            <w:r>
              <w:rPr>
                <w:rFonts w:ascii="DejaVu Sans" w:eastAsia="DejaVu Sans" w:hAnsi="DejaVu Sans" w:cs="DejaVu Sans"/>
                <w:color w:val="000000"/>
                <w:sz w:val="20"/>
                <w:szCs w:val="20"/>
              </w:rPr>
              <w:br/>
              <w:t>(0.1%, 1.8%)</w:t>
            </w:r>
          </w:p>
        </w:tc>
        <w:tc>
          <w:tcPr>
            <w:tcW w:w="63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BDAA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w:t>
            </w:r>
          </w:p>
        </w:tc>
        <w:tc>
          <w:tcPr>
            <w:tcW w:w="127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4DBF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0.4%</w:t>
            </w:r>
            <w:r>
              <w:rPr>
                <w:rFonts w:ascii="DejaVu Sans" w:eastAsia="DejaVu Sans" w:hAnsi="DejaVu Sans" w:cs="DejaVu Sans"/>
                <w:color w:val="000000"/>
                <w:sz w:val="20"/>
                <w:szCs w:val="20"/>
              </w:rPr>
              <w:br/>
              <w:t>(0.1%, 1.8%)</w:t>
            </w:r>
          </w:p>
        </w:tc>
      </w:tr>
      <w:tr w:rsidR="00BC28CE" w14:paraId="53DB1DD7" w14:textId="77777777" w:rsidTr="006D373D">
        <w:trPr>
          <w:jc w:val="center"/>
        </w:trPr>
        <w:tc>
          <w:tcPr>
            <w:tcW w:w="1170"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50534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Total</w:t>
            </w:r>
          </w:p>
        </w:tc>
        <w:tc>
          <w:tcPr>
            <w:tcW w:w="63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C398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63</w:t>
            </w:r>
          </w:p>
        </w:tc>
        <w:tc>
          <w:tcPr>
            <w:tcW w:w="127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1B8D9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14.1%</w:t>
            </w:r>
            <w:r>
              <w:rPr>
                <w:rFonts w:ascii="DejaVu Sans" w:eastAsia="DejaVu Sans" w:hAnsi="DejaVu Sans" w:cs="DejaVu Sans"/>
                <w:color w:val="000000"/>
                <w:sz w:val="20"/>
                <w:szCs w:val="20"/>
              </w:rPr>
              <w:br/>
              <w:t>(10.9%, 18.0%)</w:t>
            </w:r>
          </w:p>
        </w:tc>
        <w:tc>
          <w:tcPr>
            <w:tcW w:w="63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788E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w:t>
            </w:r>
          </w:p>
        </w:tc>
        <w:tc>
          <w:tcPr>
            <w:tcW w:w="127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F5D43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2.7%</w:t>
            </w:r>
            <w:r>
              <w:rPr>
                <w:rFonts w:ascii="DejaVu Sans" w:eastAsia="DejaVu Sans" w:hAnsi="DejaVu Sans" w:cs="DejaVu Sans"/>
                <w:color w:val="000000"/>
                <w:sz w:val="20"/>
                <w:szCs w:val="20"/>
              </w:rPr>
              <w:br/>
              <w:t>(1.6%, 4.4%)</w:t>
            </w:r>
          </w:p>
        </w:tc>
      </w:tr>
    </w:tbl>
    <w:p w14:paraId="60AD5F99" w14:textId="77777777" w:rsidR="006D373D" w:rsidRDefault="00000000">
      <w:pPr>
        <w:sectPr w:rsidR="006D373D" w:rsidSect="0088658D">
          <w:pgSz w:w="12240" w:h="15840"/>
          <w:pgMar w:top="1440" w:right="1440" w:bottom="1440" w:left="1440" w:header="708" w:footer="708" w:gutter="0"/>
          <w:cols w:space="708"/>
          <w:titlePg/>
          <w:docGrid w:linePitch="360"/>
        </w:sectPr>
      </w:pPr>
      <w:r>
        <w:br/>
      </w:r>
    </w:p>
    <w:p w14:paraId="6D8299CD" w14:textId="77777777" w:rsidR="00BC28CE" w:rsidRDefault="00000000">
      <w:pPr>
        <w:pStyle w:val="ImageCaption"/>
      </w:pPr>
      <w:bookmarkStart w:id="102" w:name="_Toc161945767"/>
      <w:r>
        <w:rPr>
          <w:b/>
        </w:rPr>
        <w:t xml:space="preserve">Figure </w:t>
      </w:r>
      <w:bookmarkStart w:id="103" w:name="pie-chart-gam"/>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3</w:t>
      </w:r>
      <w:r>
        <w:rPr>
          <w:b/>
        </w:rPr>
        <w:fldChar w:fldCharType="end"/>
      </w:r>
      <w:bookmarkEnd w:id="103"/>
      <w:r>
        <w:rPr>
          <w:b/>
        </w:rPr>
        <w:t xml:space="preserve">: </w:t>
      </w:r>
      <w:r>
        <w:t>Pie Chart of Proportion of Children with GAM by Indicator</w:t>
      </w:r>
      <w:bookmarkEnd w:id="102"/>
    </w:p>
    <w:p w14:paraId="46534C2D" w14:textId="77777777" w:rsidR="00BC28CE" w:rsidRDefault="00000000">
      <w:pPr>
        <w:jc w:val="center"/>
      </w:pPr>
      <w:r>
        <w:rPr>
          <w:noProof/>
        </w:rPr>
        <w:drawing>
          <wp:inline distT="0" distB="0" distL="0" distR="0" wp14:anchorId="540DD944" wp14:editId="2FB57627">
            <wp:extent cx="3277678" cy="19119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a:picLocks noChangeAspect="1" noChangeArrowheads="1"/>
                    </pic:cNvPicPr>
                  </pic:nvPicPr>
                  <pic:blipFill>
                    <a:blip r:embed="rId23" cstate="print"/>
                    <a:stretch>
                      <a:fillRect/>
                    </a:stretch>
                  </pic:blipFill>
                  <pic:spPr bwMode="auto">
                    <a:xfrm>
                      <a:off x="0" y="0"/>
                      <a:ext cx="45818" cy="26727"/>
                    </a:xfrm>
                    <a:prstGeom prst="rect">
                      <a:avLst/>
                    </a:prstGeom>
                    <a:noFill/>
                  </pic:spPr>
                </pic:pic>
              </a:graphicData>
            </a:graphic>
          </wp:inline>
        </w:drawing>
      </w:r>
    </w:p>
    <w:p w14:paraId="049E3A2F" w14:textId="77777777" w:rsidR="00BC28CE" w:rsidRDefault="00000000">
      <w:pPr>
        <w:pStyle w:val="ImageCaption"/>
      </w:pPr>
      <w:bookmarkStart w:id="104" w:name="_Toc161945768"/>
      <w:r>
        <w:rPr>
          <w:b/>
        </w:rPr>
        <w:t xml:space="preserve">Figure </w:t>
      </w:r>
      <w:bookmarkStart w:id="105" w:name="pie-chart-sam"/>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4</w:t>
      </w:r>
      <w:r>
        <w:rPr>
          <w:b/>
        </w:rPr>
        <w:fldChar w:fldCharType="end"/>
      </w:r>
      <w:bookmarkEnd w:id="105"/>
      <w:r>
        <w:rPr>
          <w:b/>
        </w:rPr>
        <w:t xml:space="preserve">: </w:t>
      </w:r>
      <w:r>
        <w:t>Pie Chart of Proportion of Children with SAM by Indicator</w:t>
      </w:r>
      <w:bookmarkEnd w:id="104"/>
    </w:p>
    <w:p w14:paraId="76396864" w14:textId="77777777" w:rsidR="006D373D" w:rsidRDefault="00000000">
      <w:pPr>
        <w:jc w:val="center"/>
        <w:sectPr w:rsidR="006D373D" w:rsidSect="0088658D">
          <w:type w:val="continuous"/>
          <w:pgSz w:w="12240" w:h="15840"/>
          <w:pgMar w:top="1440" w:right="1440" w:bottom="1440" w:left="1440" w:header="708" w:footer="708" w:gutter="0"/>
          <w:cols w:num="2" w:space="708"/>
          <w:titlePg/>
          <w:docGrid w:linePitch="360"/>
        </w:sectPr>
      </w:pPr>
      <w:r>
        <w:rPr>
          <w:noProof/>
        </w:rPr>
        <w:drawing>
          <wp:inline distT="0" distB="0" distL="0" distR="0" wp14:anchorId="00B11F66" wp14:editId="72D496E2">
            <wp:extent cx="3277870" cy="191212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ChangeAspect="1" noChangeArrowheads="1"/>
                    </pic:cNvPicPr>
                  </pic:nvPicPr>
                  <pic:blipFill>
                    <a:blip r:embed="rId24" cstate="print"/>
                    <a:stretch>
                      <a:fillRect/>
                    </a:stretch>
                  </pic:blipFill>
                  <pic:spPr bwMode="auto">
                    <a:xfrm>
                      <a:off x="0" y="0"/>
                      <a:ext cx="45640" cy="26624"/>
                    </a:xfrm>
                    <a:prstGeom prst="rect">
                      <a:avLst/>
                    </a:prstGeom>
                    <a:noFill/>
                  </pic:spPr>
                </pic:pic>
              </a:graphicData>
            </a:graphic>
          </wp:inline>
        </w:drawing>
      </w:r>
    </w:p>
    <w:p w14:paraId="4ACB6069" w14:textId="77777777" w:rsidR="006D373D" w:rsidRDefault="006D373D">
      <w:pPr>
        <w:jc w:val="center"/>
        <w:sectPr w:rsidR="006D373D" w:rsidSect="0088658D">
          <w:type w:val="continuous"/>
          <w:pgSz w:w="12240" w:h="15840"/>
          <w:pgMar w:top="1440" w:right="1440" w:bottom="1440" w:left="1440" w:header="708" w:footer="708" w:gutter="0"/>
          <w:cols w:space="708"/>
          <w:titlePg/>
          <w:docGrid w:linePitch="360"/>
        </w:sectPr>
      </w:pPr>
    </w:p>
    <w:p w14:paraId="18640DD1" w14:textId="77777777" w:rsidR="00BC28CE" w:rsidRPr="00E5329F" w:rsidRDefault="00000000">
      <w:pPr>
        <w:pStyle w:val="Heading2"/>
        <w:rPr>
          <w:i w:val="0"/>
          <w:iCs/>
        </w:rPr>
      </w:pPr>
      <w:bookmarkStart w:id="106" w:name="prevalence-of-chronic-malnutrition"/>
      <w:bookmarkStart w:id="107" w:name="_Toc161945695"/>
      <w:bookmarkEnd w:id="82"/>
      <w:r w:rsidRPr="00E5329F">
        <w:rPr>
          <w:i w:val="0"/>
          <w:iCs/>
        </w:rPr>
        <w:t>Prevalence of Chronic Malnutrition</w:t>
      </w:r>
      <w:bookmarkEnd w:id="107"/>
    </w:p>
    <w:p w14:paraId="3A7653DA" w14:textId="1351E36C" w:rsidR="00741BC8" w:rsidRDefault="00741BC8" w:rsidP="00741BC8">
      <w:pPr>
        <w:jc w:val="both"/>
      </w:pPr>
      <w:r w:rsidRPr="00741BC8">
        <w:t xml:space="preserve">The survey assessed chronic malnutrition, or stunting, among children aged 6-59 months using height-for-age Z-scores (HAZ). Results indicate a prevalence of 17.0% for chronic malnutrition, representing a slight increase from 15.5% in 2023. Stunting levels </w:t>
      </w:r>
      <w:r>
        <w:t>was</w:t>
      </w:r>
      <w:r w:rsidRPr="00741BC8">
        <w:t xml:space="preserve"> classified as a medium</w:t>
      </w:r>
      <w:r>
        <w:t xml:space="preserve"> based on WHO prevalence thresholds</w:t>
      </w:r>
      <w:r w:rsidRPr="00741BC8">
        <w:t>. When stratified by gender, boys exhibited a slightly higher prevalence of stunting at 19.4%, compared to 14.4% among girls.</w:t>
      </w:r>
    </w:p>
    <w:p w14:paraId="3CBF876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08" w:name="_Toc161945728"/>
      <w:r>
        <w:rPr>
          <w:b/>
        </w:rPr>
        <w:t xml:space="preserve">Table </w:t>
      </w:r>
      <w:bookmarkStart w:id="109" w:name="malnourished-by-sex-h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19</w:t>
      </w:r>
      <w:r>
        <w:rPr>
          <w:b/>
        </w:rPr>
        <w:fldChar w:fldCharType="end"/>
      </w:r>
      <w:bookmarkEnd w:id="109"/>
      <w:r>
        <w:rPr>
          <w:b/>
        </w:rPr>
        <w:t xml:space="preserve">: </w:t>
      </w:r>
      <w:r>
        <w:t>Prevalence of Chronic Malnutrition by HAZ by Severity and Sex among Children 6-59 months (SMART exclusions)</w:t>
      </w:r>
      <w:bookmarkEnd w:id="108"/>
    </w:p>
    <w:tbl>
      <w:tblPr>
        <w:tblW w:w="0" w:type="auto"/>
        <w:jc w:val="center"/>
        <w:tblLayout w:type="fixed"/>
        <w:tblLook w:val="0420" w:firstRow="1" w:lastRow="0" w:firstColumn="0" w:lastColumn="0" w:noHBand="0" w:noVBand="1"/>
      </w:tblPr>
      <w:tblGrid>
        <w:gridCol w:w="4176"/>
        <w:gridCol w:w="1728"/>
        <w:gridCol w:w="1728"/>
        <w:gridCol w:w="1728"/>
      </w:tblGrid>
      <w:tr w:rsidR="00BC28CE" w14:paraId="251A3626" w14:textId="77777777">
        <w:trPr>
          <w:tblHeade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ABA6DF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D192D4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All</w:t>
            </w:r>
            <w:r>
              <w:rPr>
                <w:rFonts w:ascii="DejaVu Sans" w:eastAsia="DejaVu Sans" w:hAnsi="DejaVu Sans" w:cs="DejaVu Sans"/>
                <w:b/>
                <w:color w:val="FFFFFF"/>
                <w:sz w:val="20"/>
                <w:szCs w:val="20"/>
              </w:rPr>
              <w:br/>
              <w:t>(N=435)</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9EB4F3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Boys</w:t>
            </w:r>
            <w:r>
              <w:rPr>
                <w:rFonts w:ascii="DejaVu Sans" w:eastAsia="DejaVu Sans" w:hAnsi="DejaVu Sans" w:cs="DejaVu Sans"/>
                <w:b/>
                <w:color w:val="FFFFFF"/>
                <w:sz w:val="20"/>
                <w:szCs w:val="20"/>
              </w:rPr>
              <w:br/>
              <w:t>(N=227)</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349E67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Girls</w:t>
            </w:r>
            <w:r>
              <w:rPr>
                <w:rFonts w:ascii="DejaVu Sans" w:eastAsia="DejaVu Sans" w:hAnsi="DejaVu Sans" w:cs="DejaVu Sans"/>
                <w:b/>
                <w:color w:val="FFFFFF"/>
                <w:sz w:val="20"/>
                <w:szCs w:val="20"/>
              </w:rPr>
              <w:br/>
              <w:t>(N=208)</w:t>
            </w:r>
          </w:p>
        </w:tc>
      </w:tr>
      <w:tr w:rsidR="00BC28CE" w14:paraId="6AF87FD6"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99C130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Not stunted</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9257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(361) 83.0%</w:t>
            </w:r>
            <w:r>
              <w:rPr>
                <w:rFonts w:ascii="DejaVu Sans" w:eastAsia="DejaVu Sans" w:hAnsi="DejaVu Sans" w:cs="DejaVu Sans"/>
                <w:color w:val="000000"/>
                <w:sz w:val="20"/>
                <w:szCs w:val="20"/>
              </w:rPr>
              <w:br/>
              <w:t>(77.9%, 87.1%)</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3A25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(183) 80.6%</w:t>
            </w:r>
            <w:r>
              <w:rPr>
                <w:rFonts w:ascii="DejaVu Sans" w:eastAsia="DejaVu Sans" w:hAnsi="DejaVu Sans" w:cs="DejaVu Sans"/>
                <w:color w:val="000000"/>
                <w:sz w:val="20"/>
                <w:szCs w:val="20"/>
              </w:rPr>
              <w:br/>
              <w:t>(74.5%, 85.6%)</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1BB56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(178) 85.6%</w:t>
            </w:r>
            <w:r>
              <w:rPr>
                <w:rFonts w:ascii="DejaVu Sans" w:eastAsia="DejaVu Sans" w:hAnsi="DejaVu Sans" w:cs="DejaVu Sans"/>
                <w:color w:val="000000"/>
                <w:sz w:val="20"/>
                <w:szCs w:val="20"/>
              </w:rPr>
              <w:br/>
              <w:t>(78.9%, 90.4%)</w:t>
            </w:r>
          </w:p>
        </w:tc>
      </w:tr>
      <w:tr w:rsidR="00BC28CE" w14:paraId="3C057B07"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A4D2AE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lastRenderedPageBreak/>
              <w:t>Prevalence of chronic malnutrition (HAZ &lt; -2 SD)</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D73CA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(74) 17.0%</w:t>
            </w:r>
            <w:r>
              <w:rPr>
                <w:rFonts w:ascii="DejaVu Sans" w:eastAsia="DejaVu Sans" w:hAnsi="DejaVu Sans" w:cs="DejaVu Sans"/>
                <w:color w:val="000000"/>
                <w:sz w:val="20"/>
                <w:szCs w:val="20"/>
              </w:rPr>
              <w:br/>
              <w:t>(12.9%, 22.1%)</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3F3B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 19.4%</w:t>
            </w:r>
            <w:r>
              <w:rPr>
                <w:rFonts w:ascii="DejaVu Sans" w:eastAsia="DejaVu Sans" w:hAnsi="DejaVu Sans" w:cs="DejaVu Sans"/>
                <w:color w:val="000000"/>
                <w:sz w:val="20"/>
                <w:szCs w:val="20"/>
              </w:rPr>
              <w:br/>
              <w:t>(14.4%, 25.5%)</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D6C3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(30) 14.4%</w:t>
            </w:r>
            <w:r>
              <w:rPr>
                <w:rFonts w:ascii="DejaVu Sans" w:eastAsia="DejaVu Sans" w:hAnsi="DejaVu Sans" w:cs="DejaVu Sans"/>
                <w:color w:val="000000"/>
                <w:sz w:val="20"/>
                <w:szCs w:val="20"/>
              </w:rPr>
              <w:br/>
              <w:t>(9.6%, 21.1%)</w:t>
            </w:r>
          </w:p>
        </w:tc>
      </w:tr>
      <w:tr w:rsidR="00BC28CE" w14:paraId="4E799CCE"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94D82F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moderate chronic malnutrition (HAZ ≥ -3 to -2 SD)</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DA582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(61) 14.0%</w:t>
            </w:r>
            <w:r>
              <w:rPr>
                <w:rFonts w:ascii="DejaVu Sans" w:eastAsia="DejaVu Sans" w:hAnsi="DejaVu Sans" w:cs="DejaVu Sans"/>
                <w:color w:val="000000"/>
                <w:sz w:val="20"/>
                <w:szCs w:val="20"/>
              </w:rPr>
              <w:br/>
              <w:t>(10.6%, 18.3%)</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17C6F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(37) 16.3%</w:t>
            </w:r>
            <w:r>
              <w:rPr>
                <w:rFonts w:ascii="DejaVu Sans" w:eastAsia="DejaVu Sans" w:hAnsi="DejaVu Sans" w:cs="DejaVu Sans"/>
                <w:color w:val="000000"/>
                <w:sz w:val="20"/>
                <w:szCs w:val="20"/>
              </w:rPr>
              <w:br/>
              <w:t>(12.1%, 21.6%)</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D6A4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 11.5%</w:t>
            </w:r>
            <w:r>
              <w:rPr>
                <w:rFonts w:ascii="DejaVu Sans" w:eastAsia="DejaVu Sans" w:hAnsi="DejaVu Sans" w:cs="DejaVu Sans"/>
                <w:color w:val="000000"/>
                <w:sz w:val="20"/>
                <w:szCs w:val="20"/>
              </w:rPr>
              <w:br/>
              <w:t>(7.2%, 18.0%)</w:t>
            </w:r>
          </w:p>
        </w:tc>
      </w:tr>
      <w:tr w:rsidR="00BC28CE" w14:paraId="415E03F9"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A8163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severe chronic malnutrition (HAZ &lt; -3 SD)</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C525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 3.0%</w:t>
            </w:r>
            <w:r>
              <w:rPr>
                <w:rFonts w:ascii="DejaVu Sans" w:eastAsia="DejaVu Sans" w:hAnsi="DejaVu Sans" w:cs="DejaVu Sans"/>
                <w:color w:val="000000"/>
                <w:sz w:val="20"/>
                <w:szCs w:val="20"/>
              </w:rPr>
              <w:br/>
              <w:t>(1.8%, 4.8%)</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63146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(7) 3.1%</w:t>
            </w:r>
            <w:r>
              <w:rPr>
                <w:rFonts w:ascii="DejaVu Sans" w:eastAsia="DejaVu Sans" w:hAnsi="DejaVu Sans" w:cs="DejaVu Sans"/>
                <w:color w:val="000000"/>
                <w:sz w:val="20"/>
                <w:szCs w:val="20"/>
              </w:rPr>
              <w:br/>
              <w:t>(1.6%, 6.0%)</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7923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 2.9%</w:t>
            </w:r>
            <w:r>
              <w:rPr>
                <w:rFonts w:ascii="DejaVu Sans" w:eastAsia="DejaVu Sans" w:hAnsi="DejaVu Sans" w:cs="DejaVu Sans"/>
                <w:color w:val="000000"/>
                <w:sz w:val="20"/>
                <w:szCs w:val="20"/>
              </w:rPr>
              <w:br/>
              <w:t>(1.4%, 6.0%)</w:t>
            </w:r>
          </w:p>
        </w:tc>
      </w:tr>
    </w:tbl>
    <w:p w14:paraId="4ECB4544" w14:textId="77777777" w:rsidR="00BC28CE" w:rsidRDefault="00000000">
      <w:r>
        <w:br/>
      </w:r>
    </w:p>
    <w:p w14:paraId="672D2B6D"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10" w:name="_Toc161945729"/>
      <w:r>
        <w:rPr>
          <w:b/>
        </w:rPr>
        <w:t xml:space="preserve">Table </w:t>
      </w:r>
      <w:bookmarkStart w:id="111" w:name="malnourished-by-age-h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20</w:t>
      </w:r>
      <w:r>
        <w:rPr>
          <w:b/>
        </w:rPr>
        <w:fldChar w:fldCharType="end"/>
      </w:r>
      <w:bookmarkEnd w:id="111"/>
      <w:r>
        <w:rPr>
          <w:b/>
        </w:rPr>
        <w:t xml:space="preserve">: </w:t>
      </w:r>
      <w:r>
        <w:t>Prevalence of Chronic Malnutrition per HAZ by Severity and Age Group (SMART exclusions)</w:t>
      </w:r>
      <w:bookmarkEnd w:id="110"/>
    </w:p>
    <w:tbl>
      <w:tblPr>
        <w:tblW w:w="0" w:type="pct"/>
        <w:jc w:val="center"/>
        <w:tblLook w:val="0420" w:firstRow="1" w:lastRow="0" w:firstColumn="0" w:lastColumn="0" w:noHBand="0" w:noVBand="1"/>
      </w:tblPr>
      <w:tblGrid>
        <w:gridCol w:w="1636"/>
        <w:gridCol w:w="562"/>
        <w:gridCol w:w="562"/>
        <w:gridCol w:w="850"/>
        <w:gridCol w:w="449"/>
        <w:gridCol w:w="878"/>
        <w:gridCol w:w="732"/>
        <w:gridCol w:w="1430"/>
        <w:gridCol w:w="704"/>
        <w:gridCol w:w="1171"/>
      </w:tblGrid>
      <w:tr w:rsidR="00BC28CE" w14:paraId="6D9E8894" w14:textId="77777777">
        <w:trPr>
          <w:tblHeader/>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AE7D9C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Age (Months)</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B997CD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A56C84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No stunting</w:t>
            </w:r>
            <w:r>
              <w:rPr>
                <w:rFonts w:ascii="DejaVu Sans" w:eastAsia="DejaVu Sans" w:hAnsi="DejaVu Sans" w:cs="DejaVu Sans"/>
                <w:b/>
                <w:color w:val="FFFFFF"/>
                <w:sz w:val="20"/>
                <w:szCs w:val="20"/>
              </w:rPr>
              <w:br/>
              <w:t>(HAZ ≥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E4F1268"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Stunting</w:t>
            </w:r>
            <w:r>
              <w:rPr>
                <w:rFonts w:ascii="DejaVu Sans" w:eastAsia="DejaVu Sans" w:hAnsi="DejaVu Sans" w:cs="DejaVu Sans"/>
                <w:b/>
                <w:color w:val="FFFFFF"/>
                <w:sz w:val="20"/>
                <w:szCs w:val="20"/>
              </w:rPr>
              <w:br/>
              <w:t>(HAZ &lt;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A81F0D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Moderate stunting</w:t>
            </w:r>
            <w:r>
              <w:rPr>
                <w:rFonts w:ascii="DejaVu Sans" w:eastAsia="DejaVu Sans" w:hAnsi="DejaVu Sans" w:cs="DejaVu Sans"/>
                <w:b/>
                <w:color w:val="FFFFFF"/>
                <w:sz w:val="20"/>
                <w:szCs w:val="20"/>
              </w:rPr>
              <w:br/>
              <w:t>(HAZ ≥ -3 to &lt;-2)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601C99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Severe stunting</w:t>
            </w:r>
            <w:r>
              <w:rPr>
                <w:rFonts w:ascii="DejaVu Sans" w:eastAsia="DejaVu Sans" w:hAnsi="DejaVu Sans" w:cs="DejaVu Sans"/>
                <w:b/>
                <w:color w:val="FFFFFF"/>
                <w:sz w:val="20"/>
                <w:szCs w:val="20"/>
              </w:rPr>
              <w:br/>
              <w:t>(HAZ &lt; -3)</w:t>
            </w:r>
          </w:p>
        </w:tc>
      </w:tr>
      <w:tr w:rsidR="00BC28CE" w14:paraId="024AFF4F" w14:textId="77777777">
        <w:trPr>
          <w:tblHeader/>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EA8BDA"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0" w:type="auto"/>
            <w:vMerge/>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42040E3A"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jc w:val="center"/>
            </w:pP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0A28D6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7187DF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1A45D3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999F36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21CAFF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198150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26BE6F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089674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r>
      <w:tr w:rsidR="00BC28CE" w14:paraId="0FF18D02"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3133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gramStart"/>
            <w:r>
              <w:rPr>
                <w:rFonts w:ascii="DejaVu Sans" w:eastAsia="DejaVu Sans" w:hAnsi="DejaVu Sans" w:cs="DejaVu Sans"/>
                <w:color w:val="000000"/>
                <w:sz w:val="20"/>
                <w:szCs w:val="20"/>
              </w:rPr>
              <w:t>6  to</w:t>
            </w:r>
            <w:proofErr w:type="gramEnd"/>
            <w:r>
              <w:rPr>
                <w:rFonts w:ascii="DejaVu Sans" w:eastAsia="DejaVu Sans" w:hAnsi="DejaVu Sans" w:cs="DejaVu Sans"/>
                <w:color w:val="000000"/>
                <w:sz w:val="20"/>
                <w:szCs w:val="20"/>
              </w:rPr>
              <w:t xml:space="preserve"> 17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487BE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A5D6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74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1D1E3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82.2%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F1C6C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852D5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0292B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7430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73473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7F5BC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3.3%</w:t>
            </w:r>
          </w:p>
        </w:tc>
      </w:tr>
      <w:tr w:rsidR="00BC28CE" w14:paraId="286DEBE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BB4E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18 to 29</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CA2C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12FB3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3C34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86.8%</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A718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5BC9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3E5B0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6364B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0A66C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16EC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1.9%</w:t>
            </w:r>
          </w:p>
        </w:tc>
      </w:tr>
      <w:tr w:rsidR="00BC28CE" w14:paraId="2D9D50DD"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00F4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30 to 41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C054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6D11A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84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F4A73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82.4%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478F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505A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FA52F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0B52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6EA2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56BC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2.0%</w:t>
            </w:r>
          </w:p>
        </w:tc>
      </w:tr>
      <w:tr w:rsidR="00BC28CE" w14:paraId="4FDD04A2"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3405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42 to 53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C559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1148C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74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2195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77.1%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6B1A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E0953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22.9%</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C866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0B2D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16.7%</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D34CE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C395E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6.2%</w:t>
            </w:r>
          </w:p>
        </w:tc>
      </w:tr>
      <w:tr w:rsidR="00BC28CE" w14:paraId="420E3DE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D07A3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54 to 59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90DC2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FA37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37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3532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90.2%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DB1FF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650C7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9BCF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6BAA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97573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D381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5E9526E4"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6ADD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All</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BCA1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435</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9105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361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7EE8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83.0%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A1E0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74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327B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A71B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DCBA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EC6C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1A21F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3.0%</w:t>
            </w:r>
          </w:p>
        </w:tc>
      </w:tr>
    </w:tbl>
    <w:p w14:paraId="1B01DAD6" w14:textId="77777777" w:rsidR="00BC28CE" w:rsidRDefault="00000000">
      <w:r>
        <w:br/>
      </w:r>
    </w:p>
    <w:p w14:paraId="31350DB3" w14:textId="77777777" w:rsidR="00BC28CE" w:rsidRDefault="00000000">
      <w:pPr>
        <w:pStyle w:val="ImageCaption"/>
      </w:pPr>
      <w:bookmarkStart w:id="112" w:name="_Toc161945769"/>
      <w:r>
        <w:rPr>
          <w:b/>
        </w:rPr>
        <w:t xml:space="preserve">Figure </w:t>
      </w:r>
      <w:bookmarkStart w:id="113" w:name="pdf-h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5</w:t>
      </w:r>
      <w:r>
        <w:rPr>
          <w:b/>
        </w:rPr>
        <w:fldChar w:fldCharType="end"/>
      </w:r>
      <w:bookmarkEnd w:id="113"/>
      <w:r>
        <w:rPr>
          <w:b/>
        </w:rPr>
        <w:t xml:space="preserve">: </w:t>
      </w:r>
      <w:r>
        <w:t>Distribution of HAZ Sample Compared to the WHO 2006 WHZ Reference Curve</w:t>
      </w:r>
      <w:bookmarkEnd w:id="112"/>
    </w:p>
    <w:p w14:paraId="5B5B4A37" w14:textId="77777777" w:rsidR="00BC28CE" w:rsidRDefault="00000000">
      <w:pPr>
        <w:jc w:val="center"/>
      </w:pPr>
      <w:r>
        <w:rPr>
          <w:noProof/>
        </w:rPr>
        <w:lastRenderedPageBreak/>
        <w:drawing>
          <wp:inline distT="0" distB="0" distL="0" distR="0" wp14:anchorId="0D5462D0" wp14:editId="795F83DD">
            <wp:extent cx="5486400" cy="3200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a:picLocks noChangeAspect="1" noChangeArrowheads="1"/>
                    </pic:cNvPicPr>
                  </pic:nvPicPr>
                  <pic:blipFill>
                    <a:blip r:embed="rId25" cstate="print"/>
                    <a:stretch>
                      <a:fillRect/>
                    </a:stretch>
                  </pic:blipFill>
                  <pic:spPr bwMode="auto">
                    <a:xfrm>
                      <a:off x="0" y="0"/>
                      <a:ext cx="76200" cy="44450"/>
                    </a:xfrm>
                    <a:prstGeom prst="rect">
                      <a:avLst/>
                    </a:prstGeom>
                    <a:noFill/>
                  </pic:spPr>
                </pic:pic>
              </a:graphicData>
            </a:graphic>
          </wp:inline>
        </w:drawing>
      </w:r>
    </w:p>
    <w:p w14:paraId="583B170A" w14:textId="77777777" w:rsidR="00BC28CE" w:rsidRDefault="00000000">
      <w:pPr>
        <w:pStyle w:val="ImageCaption"/>
      </w:pPr>
      <w:bookmarkStart w:id="114" w:name="_Toc161945770"/>
      <w:r>
        <w:rPr>
          <w:b/>
        </w:rPr>
        <w:t xml:space="preserve">Figure </w:t>
      </w:r>
      <w:bookmarkStart w:id="115" w:name="dynamite-h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6</w:t>
      </w:r>
      <w:r>
        <w:rPr>
          <w:b/>
        </w:rPr>
        <w:fldChar w:fldCharType="end"/>
      </w:r>
      <w:bookmarkEnd w:id="115"/>
      <w:r>
        <w:rPr>
          <w:b/>
        </w:rPr>
        <w:t xml:space="preserve">: </w:t>
      </w:r>
      <w:r>
        <w:t>Mean HAZ by Age Group</w:t>
      </w:r>
      <w:bookmarkEnd w:id="114"/>
    </w:p>
    <w:p w14:paraId="6DEFCC85" w14:textId="77777777" w:rsidR="00BC28CE" w:rsidRDefault="00000000">
      <w:pPr>
        <w:jc w:val="center"/>
      </w:pPr>
      <w:r>
        <w:rPr>
          <w:noProof/>
        </w:rPr>
        <w:drawing>
          <wp:inline distT="0" distB="0" distL="0" distR="0" wp14:anchorId="6052A39E" wp14:editId="5D5BBD0A">
            <wp:extent cx="5486400" cy="3200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a:picLocks noChangeAspect="1" noChangeArrowheads="1"/>
                    </pic:cNvPicPr>
                  </pic:nvPicPr>
                  <pic:blipFill>
                    <a:blip r:embed="rId26" cstate="print"/>
                    <a:stretch>
                      <a:fillRect/>
                    </a:stretch>
                  </pic:blipFill>
                  <pic:spPr bwMode="auto">
                    <a:xfrm>
                      <a:off x="0" y="0"/>
                      <a:ext cx="76200" cy="44450"/>
                    </a:xfrm>
                    <a:prstGeom prst="rect">
                      <a:avLst/>
                    </a:prstGeom>
                    <a:noFill/>
                  </pic:spPr>
                </pic:pic>
              </a:graphicData>
            </a:graphic>
          </wp:inline>
        </w:drawing>
      </w:r>
    </w:p>
    <w:p w14:paraId="23860E1E" w14:textId="77777777" w:rsidR="00BC28CE" w:rsidRPr="00E5329F" w:rsidRDefault="00000000">
      <w:pPr>
        <w:pStyle w:val="Heading2"/>
        <w:rPr>
          <w:i w:val="0"/>
          <w:iCs/>
        </w:rPr>
      </w:pPr>
      <w:bookmarkStart w:id="116" w:name="prevalence-of-underweight"/>
      <w:bookmarkStart w:id="117" w:name="_Toc161945696"/>
      <w:bookmarkEnd w:id="106"/>
      <w:r w:rsidRPr="00E5329F">
        <w:rPr>
          <w:i w:val="0"/>
          <w:iCs/>
        </w:rPr>
        <w:t>Prevalence of Underweight</w:t>
      </w:r>
      <w:bookmarkEnd w:id="117"/>
    </w:p>
    <w:p w14:paraId="211B1E2A" w14:textId="14C211CD" w:rsidR="00741BC8" w:rsidRDefault="00741BC8" w:rsidP="00741BC8">
      <w:pPr>
        <w:jc w:val="both"/>
      </w:pPr>
      <w:r w:rsidRPr="00741BC8">
        <w:t xml:space="preserve">The survey examined the prevalence of underweight among children aged 6-59 months using weight-for-age Z-scores (WAZ). Results revealed that 18.5% of children were classified as underweight, indicating a slight reduction from 20.0% in 2023. Among these, 14.4% experienced moderate underweight (WAZ between -3 and -2 SD), while 4.1% faced severe underweight (WAZ </w:t>
      </w:r>
      <w:r w:rsidRPr="00741BC8">
        <w:lastRenderedPageBreak/>
        <w:t>below -3 SD). The prevalence of underweight was slightly higher among boys, with 19.0% classified as underweight compared to 17.8% among girls.</w:t>
      </w:r>
    </w:p>
    <w:p w14:paraId="4F48BAEC"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18" w:name="_Toc161945730"/>
      <w:r>
        <w:rPr>
          <w:b/>
        </w:rPr>
        <w:t xml:space="preserve">Table </w:t>
      </w:r>
      <w:bookmarkStart w:id="119" w:name="malnourished-by-sex-w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21</w:t>
      </w:r>
      <w:r>
        <w:rPr>
          <w:b/>
        </w:rPr>
        <w:fldChar w:fldCharType="end"/>
      </w:r>
      <w:bookmarkEnd w:id="119"/>
      <w:r>
        <w:rPr>
          <w:b/>
        </w:rPr>
        <w:t xml:space="preserve">: </w:t>
      </w:r>
      <w:r>
        <w:t>Prevalence of Underweight by WAZ by Severity and Sex among Children 6-59 months (SMART exclusions), WHO 2006 Reference</w:t>
      </w:r>
      <w:bookmarkEnd w:id="118"/>
    </w:p>
    <w:tbl>
      <w:tblPr>
        <w:tblW w:w="0" w:type="auto"/>
        <w:jc w:val="center"/>
        <w:tblLayout w:type="fixed"/>
        <w:tblLook w:val="0420" w:firstRow="1" w:lastRow="0" w:firstColumn="0" w:lastColumn="0" w:noHBand="0" w:noVBand="1"/>
      </w:tblPr>
      <w:tblGrid>
        <w:gridCol w:w="4176"/>
        <w:gridCol w:w="1728"/>
        <w:gridCol w:w="1728"/>
        <w:gridCol w:w="1728"/>
      </w:tblGrid>
      <w:tr w:rsidR="00BC28CE" w14:paraId="3EB341C8" w14:textId="77777777">
        <w:trPr>
          <w:tblHeade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437CBD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Indicator</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B931A3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All</w:t>
            </w:r>
            <w:r>
              <w:rPr>
                <w:rFonts w:ascii="DejaVu Sans" w:eastAsia="DejaVu Sans" w:hAnsi="DejaVu Sans" w:cs="DejaVu Sans"/>
                <w:b/>
                <w:color w:val="FFFFFF"/>
                <w:sz w:val="20"/>
                <w:szCs w:val="20"/>
              </w:rPr>
              <w:br/>
              <w:t>(N=444)</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560C10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Boys</w:t>
            </w:r>
            <w:r>
              <w:rPr>
                <w:rFonts w:ascii="DejaVu Sans" w:eastAsia="DejaVu Sans" w:hAnsi="DejaVu Sans" w:cs="DejaVu Sans"/>
                <w:b/>
                <w:color w:val="FFFFFF"/>
                <w:sz w:val="20"/>
                <w:szCs w:val="20"/>
              </w:rPr>
              <w:br/>
              <w:t>(N=231)</w:t>
            </w:r>
          </w:p>
        </w:tc>
        <w:tc>
          <w:tcPr>
            <w:tcW w:w="1728"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BD9698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Girls</w:t>
            </w:r>
            <w:r>
              <w:rPr>
                <w:rFonts w:ascii="DejaVu Sans" w:eastAsia="DejaVu Sans" w:hAnsi="DejaVu Sans" w:cs="DejaVu Sans"/>
                <w:b/>
                <w:color w:val="FFFFFF"/>
                <w:sz w:val="20"/>
                <w:szCs w:val="20"/>
              </w:rPr>
              <w:br/>
              <w:t>(N=213)</w:t>
            </w:r>
          </w:p>
        </w:tc>
      </w:tr>
      <w:tr w:rsidR="00BC28CE" w14:paraId="01A469C3"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DEF5D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Not underweight</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DAAC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(362) 81.5%</w:t>
            </w:r>
            <w:r>
              <w:rPr>
                <w:rFonts w:ascii="DejaVu Sans" w:eastAsia="DejaVu Sans" w:hAnsi="DejaVu Sans" w:cs="DejaVu Sans"/>
                <w:color w:val="000000"/>
                <w:sz w:val="20"/>
                <w:szCs w:val="20"/>
              </w:rPr>
              <w:br/>
              <w:t>(77.6%, 84.9%)</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0E57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(187) 81.0%</w:t>
            </w:r>
            <w:r>
              <w:rPr>
                <w:rFonts w:ascii="DejaVu Sans" w:eastAsia="DejaVu Sans" w:hAnsi="DejaVu Sans" w:cs="DejaVu Sans"/>
                <w:color w:val="000000"/>
                <w:sz w:val="20"/>
                <w:szCs w:val="20"/>
              </w:rPr>
              <w:br/>
              <w:t>(75.5%, 85.4%)</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355FA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(175) 82.2%</w:t>
            </w:r>
            <w:r>
              <w:rPr>
                <w:rFonts w:ascii="DejaVu Sans" w:eastAsia="DejaVu Sans" w:hAnsi="DejaVu Sans" w:cs="DejaVu Sans"/>
                <w:color w:val="000000"/>
                <w:sz w:val="20"/>
                <w:szCs w:val="20"/>
              </w:rPr>
              <w:br/>
              <w:t>(75.1%, 87.5%)</w:t>
            </w:r>
          </w:p>
        </w:tc>
      </w:tr>
      <w:tr w:rsidR="00BC28CE" w14:paraId="7861C726"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B79FF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underweight (WAZ &lt; -2 SD)</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4261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(82) 18.5%</w:t>
            </w:r>
            <w:r>
              <w:rPr>
                <w:rFonts w:ascii="DejaVu Sans" w:eastAsia="DejaVu Sans" w:hAnsi="DejaVu Sans" w:cs="DejaVu Sans"/>
                <w:color w:val="000000"/>
                <w:sz w:val="20"/>
                <w:szCs w:val="20"/>
              </w:rPr>
              <w:br/>
              <w:t>(15.1%, 22.4%)</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9A4E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 19.0%</w:t>
            </w:r>
            <w:r>
              <w:rPr>
                <w:rFonts w:ascii="DejaVu Sans" w:eastAsia="DejaVu Sans" w:hAnsi="DejaVu Sans" w:cs="DejaVu Sans"/>
                <w:color w:val="000000"/>
                <w:sz w:val="20"/>
                <w:szCs w:val="20"/>
              </w:rPr>
              <w:br/>
              <w:t>(14.6%, 24.5%)</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BB95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(38) 17.8%</w:t>
            </w:r>
            <w:r>
              <w:rPr>
                <w:rFonts w:ascii="DejaVu Sans" w:eastAsia="DejaVu Sans" w:hAnsi="DejaVu Sans" w:cs="DejaVu Sans"/>
                <w:color w:val="000000"/>
                <w:sz w:val="20"/>
                <w:szCs w:val="20"/>
              </w:rPr>
              <w:br/>
              <w:t>(12.5%, 24.9%)</w:t>
            </w:r>
          </w:p>
        </w:tc>
      </w:tr>
      <w:tr w:rsidR="00BC28CE" w14:paraId="7EB60400"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A2203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moderate underweight (WAZ ≥ -3 to -2 SD)</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5F0FC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(64) 14.4%</w:t>
            </w:r>
            <w:r>
              <w:rPr>
                <w:rFonts w:ascii="DejaVu Sans" w:eastAsia="DejaVu Sans" w:hAnsi="DejaVu Sans" w:cs="DejaVu Sans"/>
                <w:color w:val="000000"/>
                <w:sz w:val="20"/>
                <w:szCs w:val="20"/>
              </w:rPr>
              <w:br/>
              <w:t>(11.7%, 17.6%)</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903F3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(35) 15.2%</w:t>
            </w:r>
            <w:r>
              <w:rPr>
                <w:rFonts w:ascii="DejaVu Sans" w:eastAsia="DejaVu Sans" w:hAnsi="DejaVu Sans" w:cs="DejaVu Sans"/>
                <w:color w:val="000000"/>
                <w:sz w:val="20"/>
                <w:szCs w:val="20"/>
              </w:rPr>
              <w:br/>
              <w:t>(11.2%, 20.2%)</w:t>
            </w:r>
          </w:p>
        </w:tc>
        <w:tc>
          <w:tcPr>
            <w:tcW w:w="172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7A8B8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(29) 13.6%</w:t>
            </w:r>
            <w:r>
              <w:rPr>
                <w:rFonts w:ascii="DejaVu Sans" w:eastAsia="DejaVu Sans" w:hAnsi="DejaVu Sans" w:cs="DejaVu Sans"/>
                <w:color w:val="000000"/>
                <w:sz w:val="20"/>
                <w:szCs w:val="20"/>
              </w:rPr>
              <w:br/>
              <w:t>(9.4%, 19.3%)</w:t>
            </w:r>
          </w:p>
        </w:tc>
      </w:tr>
      <w:tr w:rsidR="00BC28CE" w14:paraId="60BD8E7D" w14:textId="77777777">
        <w:trPr>
          <w:jc w:val="center"/>
        </w:trPr>
        <w:tc>
          <w:tcPr>
            <w:tcW w:w="4176" w:type="dxa"/>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7C47E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Prevalence of severe underweight (WAZ &lt; -3 SD)</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848AE0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 4.1%</w:t>
            </w:r>
            <w:r>
              <w:rPr>
                <w:rFonts w:ascii="DejaVu Sans" w:eastAsia="DejaVu Sans" w:hAnsi="DejaVu Sans" w:cs="DejaVu Sans"/>
                <w:color w:val="000000"/>
                <w:sz w:val="20"/>
                <w:szCs w:val="20"/>
              </w:rPr>
              <w:br/>
              <w:t>(2.4%, 6.7%)</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7489D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 3.9%</w:t>
            </w:r>
            <w:r>
              <w:rPr>
                <w:rFonts w:ascii="DejaVu Sans" w:eastAsia="DejaVu Sans" w:hAnsi="DejaVu Sans" w:cs="DejaVu Sans"/>
                <w:color w:val="000000"/>
                <w:sz w:val="20"/>
                <w:szCs w:val="20"/>
              </w:rPr>
              <w:br/>
              <w:t>(2.2%, 6.8%)</w:t>
            </w:r>
          </w:p>
        </w:tc>
        <w:tc>
          <w:tcPr>
            <w:tcW w:w="1728"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DBA7B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 4.2%</w:t>
            </w:r>
            <w:r>
              <w:rPr>
                <w:rFonts w:ascii="DejaVu Sans" w:eastAsia="DejaVu Sans" w:hAnsi="DejaVu Sans" w:cs="DejaVu Sans"/>
                <w:color w:val="000000"/>
                <w:sz w:val="20"/>
                <w:szCs w:val="20"/>
              </w:rPr>
              <w:br/>
              <w:t>(2.0%, 8.7%)</w:t>
            </w:r>
          </w:p>
        </w:tc>
      </w:tr>
    </w:tbl>
    <w:p w14:paraId="6310330A" w14:textId="77777777" w:rsidR="00BC28CE" w:rsidRDefault="00000000">
      <w:r>
        <w:br/>
      </w:r>
    </w:p>
    <w:p w14:paraId="7F82FA7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20" w:name="_Toc161945731"/>
      <w:r>
        <w:rPr>
          <w:b/>
        </w:rPr>
        <w:t xml:space="preserve">Table </w:t>
      </w:r>
      <w:bookmarkStart w:id="121" w:name="malnourished-by-age-w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22</w:t>
      </w:r>
      <w:r>
        <w:rPr>
          <w:b/>
        </w:rPr>
        <w:fldChar w:fldCharType="end"/>
      </w:r>
      <w:bookmarkEnd w:id="121"/>
      <w:r>
        <w:rPr>
          <w:b/>
        </w:rPr>
        <w:t xml:space="preserve">: </w:t>
      </w:r>
      <w:r>
        <w:t>Prevalence of Underweight per WAZ by Severity and Age Group (SMART exclusions)</w:t>
      </w:r>
      <w:bookmarkEnd w:id="120"/>
    </w:p>
    <w:tbl>
      <w:tblPr>
        <w:tblW w:w="0" w:type="pct"/>
        <w:jc w:val="center"/>
        <w:tblLook w:val="0420" w:firstRow="1" w:lastRow="0" w:firstColumn="0" w:lastColumn="0" w:noHBand="0" w:noVBand="1"/>
      </w:tblPr>
      <w:tblGrid>
        <w:gridCol w:w="1388"/>
        <w:gridCol w:w="562"/>
        <w:gridCol w:w="701"/>
        <w:gridCol w:w="1061"/>
        <w:gridCol w:w="524"/>
        <w:gridCol w:w="1024"/>
        <w:gridCol w:w="715"/>
        <w:gridCol w:w="1397"/>
        <w:gridCol w:w="740"/>
        <w:gridCol w:w="1228"/>
      </w:tblGrid>
      <w:tr w:rsidR="00BC28CE" w14:paraId="571D555F" w14:textId="77777777">
        <w:trPr>
          <w:tblHeader/>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ECFC6C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DejaVu Sans" w:eastAsia="DejaVu Sans" w:hAnsi="DejaVu Sans" w:cs="DejaVu Sans"/>
                <w:b/>
                <w:color w:val="FFFFFF"/>
                <w:sz w:val="20"/>
                <w:szCs w:val="20"/>
              </w:rPr>
              <w:t>Age (Months)</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408A90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B48BC3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Not underweight</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068976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Underweight</w:t>
            </w:r>
            <w:r>
              <w:rPr>
                <w:rFonts w:ascii="DejaVu Sans" w:eastAsia="DejaVu Sans" w:hAnsi="DejaVu Sans" w:cs="DejaVu Sans"/>
                <w:b/>
                <w:color w:val="FFFFFF"/>
                <w:sz w:val="20"/>
                <w:szCs w:val="20"/>
              </w:rPr>
              <w:br/>
              <w:t>(WAZ &lt;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785A1C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Moderate Underweight</w:t>
            </w:r>
            <w:r>
              <w:rPr>
                <w:rFonts w:ascii="DejaVu Sans" w:eastAsia="DejaVu Sans" w:hAnsi="DejaVu Sans" w:cs="DejaVu Sans"/>
                <w:b/>
                <w:color w:val="FFFFFF"/>
                <w:sz w:val="20"/>
                <w:szCs w:val="20"/>
              </w:rPr>
              <w:br/>
              <w:t>(-3 ≤ WAZ &lt; -2)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C9B912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FFFFFF"/>
                <w:sz w:val="20"/>
                <w:szCs w:val="20"/>
              </w:rPr>
              <w:t>Severe Underweight</w:t>
            </w:r>
            <w:r>
              <w:rPr>
                <w:rFonts w:ascii="DejaVu Sans" w:eastAsia="DejaVu Sans" w:hAnsi="DejaVu Sans" w:cs="DejaVu Sans"/>
                <w:b/>
                <w:color w:val="FFFFFF"/>
                <w:sz w:val="20"/>
                <w:szCs w:val="20"/>
              </w:rPr>
              <w:br/>
              <w:t>(WAZ &lt; -3)</w:t>
            </w:r>
          </w:p>
        </w:tc>
      </w:tr>
      <w:tr w:rsidR="00BC28CE" w14:paraId="1F26AE47" w14:textId="77777777">
        <w:trPr>
          <w:tblHeader/>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60F82D"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0" w:type="auto"/>
            <w:vMerge/>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21DA7F1"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jc w:val="center"/>
            </w:pP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6C0C15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BC5D29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4F2CB64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015ACB2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330FBA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5931FC2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DA306A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n</w:t>
            </w:r>
          </w:p>
        </w:tc>
        <w:tc>
          <w:tcPr>
            <w:tcW w:w="0" w:type="auto"/>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2243D3F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DejaVu Sans" w:eastAsia="DejaVu Sans" w:hAnsi="DejaVu Sans" w:cs="DejaVu Sans"/>
                <w:b/>
                <w:color w:val="000000"/>
                <w:sz w:val="20"/>
                <w:szCs w:val="20"/>
              </w:rPr>
              <w:t>%</w:t>
            </w:r>
          </w:p>
        </w:tc>
      </w:tr>
      <w:tr w:rsidR="00BC28CE" w14:paraId="6C546148"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F8989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gramStart"/>
            <w:r>
              <w:rPr>
                <w:rFonts w:ascii="DejaVu Sans" w:eastAsia="DejaVu Sans" w:hAnsi="DejaVu Sans" w:cs="DejaVu Sans"/>
                <w:color w:val="000000"/>
                <w:sz w:val="20"/>
                <w:szCs w:val="20"/>
              </w:rPr>
              <w:t>6  to</w:t>
            </w:r>
            <w:proofErr w:type="gramEnd"/>
            <w:r>
              <w:rPr>
                <w:rFonts w:ascii="DejaVu Sans" w:eastAsia="DejaVu Sans" w:hAnsi="DejaVu Sans" w:cs="DejaVu Sans"/>
                <w:color w:val="000000"/>
                <w:sz w:val="20"/>
                <w:szCs w:val="20"/>
              </w:rPr>
              <w:t xml:space="preserve"> 17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1026E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4ADE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80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4834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84.2%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156FC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E6CE0E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1FCFB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37E2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F4C0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8765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3.2%</w:t>
            </w:r>
          </w:p>
        </w:tc>
      </w:tr>
      <w:tr w:rsidR="00BC28CE" w14:paraId="3910A882"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24F3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18 to 29</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95C8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107</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D4645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91</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DF93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85.0%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3698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87831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15.0%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61244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5E9C8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11.2%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4AB8F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A495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3.7%</w:t>
            </w:r>
          </w:p>
        </w:tc>
      </w:tr>
      <w:tr w:rsidR="00BC28CE" w14:paraId="07245262"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1D55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30 to 41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7713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105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25E0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82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A2691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78.1%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AF34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81A5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21.9%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B70A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0C33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17.1%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C1934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073F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4.8%</w:t>
            </w:r>
          </w:p>
        </w:tc>
      </w:tr>
      <w:tr w:rsidR="00BC28CE" w14:paraId="2C20AB70"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79399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42 to 53</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A334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96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1BC9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72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070E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75.0%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D1A6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F305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25.0%</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3609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106BA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18.8%</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1D50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6</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97EB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6.2%</w:t>
            </w:r>
          </w:p>
        </w:tc>
      </w:tr>
      <w:tr w:rsidR="00BC28CE" w14:paraId="7EAB4B69"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5DA2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54 to 59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21BFE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CBDA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37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94162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90.2%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22893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F611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108D4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DE5C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9.8%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8F55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 xml:space="preserve"> 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CBD4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0.0%</w:t>
            </w:r>
          </w:p>
        </w:tc>
      </w:tr>
      <w:tr w:rsidR="00BC28CE" w14:paraId="13D765EF" w14:textId="7777777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C78F56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DejaVu Sans" w:eastAsia="DejaVu Sans" w:hAnsi="DejaVu Sans" w:cs="DejaVu Sans"/>
                <w:color w:val="000000"/>
                <w:sz w:val="20"/>
                <w:szCs w:val="20"/>
              </w:rPr>
              <w:t>All</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6C41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444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0EED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362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B5EC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81.5%</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37DB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82</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9E15C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18.5%</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B197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64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16E5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14.4%</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7A05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2CCD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DejaVu Sans" w:eastAsia="DejaVu Sans" w:hAnsi="DejaVu Sans" w:cs="DejaVu Sans"/>
                <w:color w:val="000000"/>
                <w:sz w:val="20"/>
                <w:szCs w:val="20"/>
              </w:rPr>
              <w:t>4.1%</w:t>
            </w:r>
          </w:p>
        </w:tc>
      </w:tr>
    </w:tbl>
    <w:p w14:paraId="496E3A05" w14:textId="77777777" w:rsidR="00BC28CE" w:rsidRDefault="00000000">
      <w:r>
        <w:br/>
      </w:r>
    </w:p>
    <w:p w14:paraId="24B4B480" w14:textId="77777777" w:rsidR="00BC28CE" w:rsidRDefault="00000000">
      <w:pPr>
        <w:pStyle w:val="ImageCaption"/>
      </w:pPr>
      <w:bookmarkStart w:id="122" w:name="_Toc161945771"/>
      <w:r>
        <w:rPr>
          <w:b/>
        </w:rPr>
        <w:t xml:space="preserve">Figure </w:t>
      </w:r>
      <w:bookmarkStart w:id="123" w:name="pdf-w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7</w:t>
      </w:r>
      <w:r>
        <w:rPr>
          <w:b/>
        </w:rPr>
        <w:fldChar w:fldCharType="end"/>
      </w:r>
      <w:bookmarkEnd w:id="123"/>
      <w:r>
        <w:rPr>
          <w:b/>
        </w:rPr>
        <w:t xml:space="preserve">: </w:t>
      </w:r>
      <w:r>
        <w:t>Distribution of WAZ Sample Compared to the WHO 2006 WHZ Reference Curve</w:t>
      </w:r>
      <w:bookmarkEnd w:id="122"/>
    </w:p>
    <w:p w14:paraId="437D4E71" w14:textId="77777777" w:rsidR="00BC28CE" w:rsidRDefault="00000000">
      <w:pPr>
        <w:jc w:val="center"/>
      </w:pPr>
      <w:r>
        <w:rPr>
          <w:noProof/>
        </w:rPr>
        <w:lastRenderedPageBreak/>
        <w:drawing>
          <wp:inline distT="0" distB="0" distL="0" distR="0" wp14:anchorId="236FFDE7" wp14:editId="1A6C5585">
            <wp:extent cx="5486400" cy="320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a:picLocks noChangeAspect="1" noChangeArrowheads="1"/>
                    </pic:cNvPicPr>
                  </pic:nvPicPr>
                  <pic:blipFill>
                    <a:blip r:embed="rId27" cstate="print"/>
                    <a:stretch>
                      <a:fillRect/>
                    </a:stretch>
                  </pic:blipFill>
                  <pic:spPr bwMode="auto">
                    <a:xfrm>
                      <a:off x="0" y="0"/>
                      <a:ext cx="76200" cy="44450"/>
                    </a:xfrm>
                    <a:prstGeom prst="rect">
                      <a:avLst/>
                    </a:prstGeom>
                    <a:noFill/>
                  </pic:spPr>
                </pic:pic>
              </a:graphicData>
            </a:graphic>
          </wp:inline>
        </w:drawing>
      </w:r>
    </w:p>
    <w:p w14:paraId="39372AE1" w14:textId="77777777" w:rsidR="00BC28CE" w:rsidRDefault="00000000">
      <w:pPr>
        <w:pStyle w:val="ImageCaption"/>
      </w:pPr>
      <w:bookmarkStart w:id="124" w:name="_Toc161945772"/>
      <w:r>
        <w:rPr>
          <w:b/>
        </w:rPr>
        <w:t xml:space="preserve">Figure </w:t>
      </w:r>
      <w:bookmarkStart w:id="125" w:name="dynamite-waz"/>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8</w:t>
      </w:r>
      <w:r>
        <w:rPr>
          <w:b/>
        </w:rPr>
        <w:fldChar w:fldCharType="end"/>
      </w:r>
      <w:bookmarkEnd w:id="125"/>
      <w:r>
        <w:rPr>
          <w:b/>
        </w:rPr>
        <w:t xml:space="preserve">: </w:t>
      </w:r>
      <w:r>
        <w:t>Mean WAZ by Age Group</w:t>
      </w:r>
      <w:bookmarkEnd w:id="124"/>
    </w:p>
    <w:p w14:paraId="1474CDD0" w14:textId="77777777" w:rsidR="00BC28CE" w:rsidRDefault="00000000">
      <w:pPr>
        <w:jc w:val="center"/>
      </w:pPr>
      <w:r>
        <w:rPr>
          <w:noProof/>
        </w:rPr>
        <w:drawing>
          <wp:inline distT="0" distB="0" distL="0" distR="0" wp14:anchorId="4919978C" wp14:editId="75D7B397">
            <wp:extent cx="5486400" cy="3200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a:picLocks noChangeAspect="1" noChangeArrowheads="1"/>
                    </pic:cNvPicPr>
                  </pic:nvPicPr>
                  <pic:blipFill>
                    <a:blip r:embed="rId28" cstate="print"/>
                    <a:stretch>
                      <a:fillRect/>
                    </a:stretch>
                  </pic:blipFill>
                  <pic:spPr bwMode="auto">
                    <a:xfrm>
                      <a:off x="0" y="0"/>
                      <a:ext cx="76200" cy="44450"/>
                    </a:xfrm>
                    <a:prstGeom prst="rect">
                      <a:avLst/>
                    </a:prstGeom>
                    <a:noFill/>
                  </pic:spPr>
                </pic:pic>
              </a:graphicData>
            </a:graphic>
          </wp:inline>
        </w:drawing>
      </w:r>
    </w:p>
    <w:p w14:paraId="2150DC42" w14:textId="77777777" w:rsidR="00BC28CE" w:rsidRDefault="00000000">
      <w:bookmarkStart w:id="126" w:name="prevalence-of-overweight"/>
      <w:bookmarkEnd w:id="116"/>
      <w:r>
        <w:br/>
      </w:r>
    </w:p>
    <w:p w14:paraId="361E9AAE" w14:textId="77777777" w:rsidR="00BC28CE" w:rsidRPr="00F66DE8" w:rsidRDefault="00000000">
      <w:pPr>
        <w:pStyle w:val="Heading2"/>
        <w:rPr>
          <w:i w:val="0"/>
          <w:iCs/>
        </w:rPr>
      </w:pPr>
      <w:bookmarkStart w:id="127" w:name="other-indicator-results"/>
      <w:bookmarkStart w:id="128" w:name="_Toc161945698"/>
      <w:bookmarkEnd w:id="126"/>
      <w:r w:rsidRPr="00F66DE8">
        <w:rPr>
          <w:i w:val="0"/>
          <w:iCs/>
        </w:rPr>
        <w:lastRenderedPageBreak/>
        <w:t>Other Indicator Results</w:t>
      </w:r>
      <w:bookmarkEnd w:id="128"/>
    </w:p>
    <w:p w14:paraId="3BA6A10F" w14:textId="77777777" w:rsidR="00BC28CE" w:rsidRDefault="00000000">
      <w:pPr>
        <w:pStyle w:val="Heading3"/>
      </w:pPr>
      <w:bookmarkStart w:id="129" w:name="indicators-at-the-household-level"/>
      <w:r>
        <w:t>Indicators at the Household Level</w:t>
      </w:r>
    </w:p>
    <w:p w14:paraId="027D8BBA" w14:textId="77777777" w:rsidR="00BC28CE" w:rsidRDefault="00000000">
      <w:pPr>
        <w:pStyle w:val="Heading4"/>
      </w:pPr>
      <w:bookmarkStart w:id="130" w:name="food-security"/>
      <w:r>
        <w:t>Food Security</w:t>
      </w:r>
    </w:p>
    <w:p w14:paraId="256618CB" w14:textId="77777777" w:rsidR="00BC28CE" w:rsidRDefault="00000000">
      <w:pPr>
        <w:pStyle w:val="Heading5"/>
      </w:pPr>
      <w:bookmarkStart w:id="131" w:name="food-consumption-score-fcs"/>
      <w:r>
        <w:t>Food Consumption Score (FCS)</w:t>
      </w:r>
    </w:p>
    <w:p w14:paraId="7D645531" w14:textId="00645829" w:rsidR="00F66DE8" w:rsidRDefault="002A6A13" w:rsidP="002A6A13">
      <w:pPr>
        <w:jc w:val="both"/>
      </w:pPr>
      <w:r w:rsidRPr="002A6A13">
        <w:t>The Food Consumption Score (FCS) serves as a comprehensive measure of household food security, encompassing dietary diversity, food frequency, and the nutritional significance of various food groups. Computed from 16 food categories collapsed into 8 groups, including cereals, pulses, vegetables, fruits, meats, dairy, sugars, and oils, the FCS is indicative of diet quality. By multiplying consumption frequency (up to 7 days) by assigned weight factors, households' FCS is determined. Classifications range from poor (score of 0 to 21) to borderline (21.5 to 35) to acceptable (35.5 and above). In this survey, 58.9% of households attained an acceptable FCS, while 4.7% scored poorly, and 36.4% fell into the borderline category. Notably, there was an increase in the proportion of households with acceptable FCS compared to 2023, where it stood at 38.9%.</w:t>
      </w:r>
    </w:p>
    <w:p w14:paraId="58D1DC65"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32" w:name="_Toc161945734"/>
      <w:r>
        <w:rPr>
          <w:b/>
        </w:rPr>
        <w:t xml:space="preserve">Table </w:t>
      </w:r>
      <w:bookmarkStart w:id="133" w:name="mean-fcs"/>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25</w:t>
      </w:r>
      <w:r>
        <w:rPr>
          <w:b/>
        </w:rPr>
        <w:fldChar w:fldCharType="end"/>
      </w:r>
      <w:bookmarkEnd w:id="133"/>
      <w:r>
        <w:rPr>
          <w:b/>
        </w:rPr>
        <w:t xml:space="preserve">: </w:t>
      </w:r>
      <w:r>
        <w:t>Average FCS*</w:t>
      </w:r>
      <w:bookmarkEnd w:id="132"/>
    </w:p>
    <w:tbl>
      <w:tblPr>
        <w:tblW w:w="0" w:type="auto"/>
        <w:jc w:val="center"/>
        <w:tblLayout w:type="fixed"/>
        <w:tblLook w:val="0420" w:firstRow="1" w:lastRow="0" w:firstColumn="0" w:lastColumn="0" w:noHBand="0" w:noVBand="1"/>
      </w:tblPr>
      <w:tblGrid>
        <w:gridCol w:w="3024"/>
        <w:gridCol w:w="1296"/>
        <w:gridCol w:w="2160"/>
        <w:gridCol w:w="720"/>
        <w:gridCol w:w="720"/>
        <w:gridCol w:w="720"/>
        <w:gridCol w:w="720"/>
      </w:tblGrid>
      <w:tr w:rsidR="00BC28CE" w14:paraId="264286B7" w14:textId="77777777">
        <w:trPr>
          <w:tblHeader/>
          <w:jc w:val="center"/>
        </w:trPr>
        <w:tc>
          <w:tcPr>
            <w:tcW w:w="30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600E57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b/>
                <w:color w:val="FFFFFF"/>
                <w:sz w:val="22"/>
                <w:szCs w:val="22"/>
              </w:rPr>
              <w:t>Variable</w:t>
            </w:r>
          </w:p>
        </w:tc>
        <w:tc>
          <w:tcPr>
            <w:tcW w:w="129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B6FA06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Mean</w:t>
            </w:r>
          </w:p>
        </w:tc>
        <w:tc>
          <w:tcPr>
            <w:tcW w:w="216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4689224"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95% CI</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ABB2DF2"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Obs.</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9DE5F9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SD</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30663C0"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Min</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72D773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Max</w:t>
            </w:r>
          </w:p>
        </w:tc>
      </w:tr>
      <w:tr w:rsidR="00BC28CE" w14:paraId="13DD45E0" w14:textId="77777777">
        <w:trPr>
          <w:jc w:val="center"/>
        </w:trPr>
        <w:tc>
          <w:tcPr>
            <w:tcW w:w="302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136F45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000000"/>
                <w:sz w:val="22"/>
                <w:szCs w:val="22"/>
              </w:rPr>
              <w:t>FCS</w:t>
            </w:r>
          </w:p>
        </w:tc>
        <w:tc>
          <w:tcPr>
            <w:tcW w:w="1296"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447BF77"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42.32</w:t>
            </w:r>
          </w:p>
        </w:tc>
        <w:tc>
          <w:tcPr>
            <w:tcW w:w="216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F88EB42"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(39.5,</w:t>
            </w:r>
            <w:r>
              <w:rPr>
                <w:rFonts w:ascii="Arial" w:eastAsia="DejaVu Sans" w:hAnsi="DejaVu Sans" w:cs="DejaVu Sans"/>
                <w:color w:val="000000"/>
                <w:sz w:val="22"/>
                <w:szCs w:val="22"/>
              </w:rPr>
              <w:t> </w:t>
            </w:r>
            <w:r>
              <w:rPr>
                <w:rFonts w:ascii="Arial" w:eastAsia="DejaVu Sans" w:hAnsi="DejaVu Sans" w:cs="DejaVu Sans"/>
                <w:color w:val="000000"/>
                <w:sz w:val="22"/>
                <w:szCs w:val="22"/>
              </w:rPr>
              <w:t>45.1)</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2B6113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621</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DBEC3A4"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17.08</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A645CEC"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11.5</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74D8468"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112</w:t>
            </w:r>
          </w:p>
        </w:tc>
      </w:tr>
      <w:tr w:rsidR="00BC28CE" w14:paraId="4CA2F11F" w14:textId="77777777">
        <w:trPr>
          <w:jc w:val="center"/>
        </w:trPr>
        <w:tc>
          <w:tcPr>
            <w:tcW w:w="9360" w:type="dxa"/>
            <w:gridSpan w:val="7"/>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2ACE6FC7"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Maximum FCS is 112 (129.5 if specialized nutritious foods are included).</w:t>
            </w:r>
          </w:p>
        </w:tc>
      </w:tr>
    </w:tbl>
    <w:p w14:paraId="22090536" w14:textId="77777777" w:rsidR="00BC28CE" w:rsidRDefault="00000000">
      <w:r>
        <w:br/>
      </w:r>
    </w:p>
    <w:p w14:paraId="4F199F04"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34" w:name="_Toc161945735"/>
      <w:r>
        <w:rPr>
          <w:b/>
        </w:rPr>
        <w:t xml:space="preserve">Table </w:t>
      </w:r>
      <w:bookmarkStart w:id="135" w:name="prop-fcs"/>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26</w:t>
      </w:r>
      <w:r>
        <w:rPr>
          <w:b/>
        </w:rPr>
        <w:fldChar w:fldCharType="end"/>
      </w:r>
      <w:bookmarkEnd w:id="135"/>
      <w:r>
        <w:rPr>
          <w:b/>
        </w:rPr>
        <w:t xml:space="preserve">: </w:t>
      </w:r>
      <w:r>
        <w:t>Food Consumption Score by Category</w:t>
      </w:r>
      <w:bookmarkEnd w:id="134"/>
    </w:p>
    <w:tbl>
      <w:tblPr>
        <w:tblW w:w="0" w:type="pct"/>
        <w:jc w:val="center"/>
        <w:tblLook w:val="0420" w:firstRow="1" w:lastRow="0" w:firstColumn="0" w:lastColumn="0" w:noHBand="0" w:noVBand="1"/>
      </w:tblPr>
      <w:tblGrid>
        <w:gridCol w:w="3794"/>
        <w:gridCol w:w="978"/>
        <w:gridCol w:w="1908"/>
        <w:gridCol w:w="2680"/>
      </w:tblGrid>
      <w:tr w:rsidR="00BC28CE" w14:paraId="1E974894" w14:textId="77777777">
        <w:trPr>
          <w:tblHeader/>
          <w:jc w:val="center"/>
        </w:trPr>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4F63159"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3CFF575"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C083FF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38B35AE"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6C61A7EB" w14:textId="77777777">
        <w:trPr>
          <w:jc w:val="center"/>
        </w:trPr>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C80C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Acceptable (FCS &gt; 35)</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198BB6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366</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5931A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58.9%</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D1F2F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(51.7%,</w:t>
            </w:r>
            <w:r>
              <w:rPr>
                <w:rFonts w:ascii="Arial" w:eastAsia="DejaVu Sans" w:hAnsi="DejaVu Sans" w:cs="DejaVu Sans"/>
                <w:color w:val="000000"/>
                <w:sz w:val="22"/>
                <w:szCs w:val="22"/>
              </w:rPr>
              <w:t> </w:t>
            </w:r>
            <w:r>
              <w:rPr>
                <w:rFonts w:ascii="Arial" w:eastAsia="DejaVu Sans" w:hAnsi="DejaVu Sans" w:cs="DejaVu Sans"/>
                <w:color w:val="000000"/>
                <w:sz w:val="22"/>
                <w:szCs w:val="22"/>
              </w:rPr>
              <w:t>65.8%)</w:t>
            </w:r>
          </w:p>
        </w:tc>
      </w:tr>
      <w:tr w:rsidR="00BC28CE" w14:paraId="32A75396" w14:textId="77777777">
        <w:trPr>
          <w:jc w:val="center"/>
        </w:trPr>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73CE3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Borderline (21.5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FCS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35)</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BA16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226</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F756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36.4%</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ED093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(30.2%,</w:t>
            </w:r>
            <w:r>
              <w:rPr>
                <w:rFonts w:ascii="Arial" w:eastAsia="DejaVu Sans" w:hAnsi="DejaVu Sans" w:cs="DejaVu Sans"/>
                <w:color w:val="000000"/>
                <w:sz w:val="22"/>
                <w:szCs w:val="22"/>
              </w:rPr>
              <w:t> </w:t>
            </w:r>
            <w:r>
              <w:rPr>
                <w:rFonts w:ascii="Arial" w:eastAsia="DejaVu Sans" w:hAnsi="DejaVu Sans" w:cs="DejaVu Sans"/>
                <w:color w:val="000000"/>
                <w:sz w:val="22"/>
                <w:szCs w:val="22"/>
              </w:rPr>
              <w:t>43.1%)</w:t>
            </w:r>
          </w:p>
        </w:tc>
      </w:tr>
      <w:tr w:rsidR="00BC28CE" w14:paraId="0A7C15C1" w14:textId="77777777">
        <w:trPr>
          <w:jc w:val="center"/>
        </w:trPr>
        <w:tc>
          <w:tcPr>
            <w:tcW w:w="0" w:type="auto"/>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583E7B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Poor (FCS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21)</w:t>
            </w:r>
          </w:p>
        </w:tc>
        <w:tc>
          <w:tcPr>
            <w:tcW w:w="0" w:type="auto"/>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70225C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29</w:t>
            </w:r>
          </w:p>
        </w:tc>
        <w:tc>
          <w:tcPr>
            <w:tcW w:w="0" w:type="auto"/>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714908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4.7%</w:t>
            </w:r>
          </w:p>
        </w:tc>
        <w:tc>
          <w:tcPr>
            <w:tcW w:w="0" w:type="auto"/>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19E53DA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w:t>
            </w:r>
            <w:r>
              <w:rPr>
                <w:rFonts w:ascii="Arial" w:eastAsia="DejaVu Sans" w:hAnsi="DejaVu Sans" w:cs="DejaVu Sans"/>
                <w:color w:val="000000"/>
                <w:sz w:val="22"/>
                <w:szCs w:val="22"/>
              </w:rPr>
              <w:t> </w:t>
            </w:r>
            <w:r>
              <w:rPr>
                <w:rFonts w:ascii="Arial" w:eastAsia="DejaVu Sans" w:hAnsi="DejaVu Sans" w:cs="DejaVu Sans"/>
                <w:color w:val="000000"/>
                <w:sz w:val="22"/>
                <w:szCs w:val="22"/>
              </w:rPr>
              <w:t>7.0%)</w:t>
            </w:r>
          </w:p>
        </w:tc>
      </w:tr>
      <w:tr w:rsidR="00BC28CE" w14:paraId="5AAADF6A" w14:textId="77777777">
        <w:trPr>
          <w:jc w:val="center"/>
        </w:trPr>
        <w:tc>
          <w:tcPr>
            <w:tcW w:w="0" w:type="auto"/>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55B42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0" w:type="auto"/>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922CE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621</w:t>
            </w:r>
          </w:p>
        </w:tc>
        <w:tc>
          <w:tcPr>
            <w:tcW w:w="0" w:type="auto"/>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75991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0" w:type="auto"/>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21E2C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r w:rsidR="00BC28CE" w14:paraId="702D62C8" w14:textId="77777777">
        <w:trPr>
          <w:jc w:val="center"/>
        </w:trPr>
        <w:tc>
          <w:tcPr>
            <w:tcW w:w="0" w:type="auto"/>
            <w:gridSpan w:val="4"/>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6849BEE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xml:space="preserve">* In countries where households have a high sugar and oil consumption (oil and sugar eaten </w:t>
            </w:r>
            <w:proofErr w:type="gramStart"/>
            <w:r>
              <w:rPr>
                <w:rFonts w:ascii="Arial" w:eastAsia="DejaVu Sans" w:hAnsi="DejaVu Sans" w:cs="DejaVu Sans"/>
                <w:i/>
                <w:color w:val="000000"/>
                <w:sz w:val="16"/>
                <w:szCs w:val="16"/>
              </w:rPr>
              <w:t>on a daily basis</w:t>
            </w:r>
            <w:proofErr w:type="gramEnd"/>
            <w:r>
              <w:rPr>
                <w:rFonts w:ascii="Arial" w:eastAsia="DejaVu Sans" w:hAnsi="DejaVu Sans" w:cs="DejaVu Sans"/>
                <w:i/>
                <w:color w:val="000000"/>
                <w:sz w:val="16"/>
                <w:szCs w:val="16"/>
              </w:rPr>
              <w:t xml:space="preserve"> - ~7 days per week), cut-off points of 28 (poor/borderline) and 42 (borderline/acceptable) are usually recommended.</w:t>
            </w:r>
          </w:p>
        </w:tc>
      </w:tr>
    </w:tbl>
    <w:p w14:paraId="18337BB5" w14:textId="77777777" w:rsidR="00BC28CE" w:rsidRDefault="00000000">
      <w:r>
        <w:br/>
      </w:r>
    </w:p>
    <w:p w14:paraId="0A1D9BB5" w14:textId="77777777" w:rsidR="00BC28CE" w:rsidRDefault="00000000">
      <w:pPr>
        <w:pStyle w:val="Heading5"/>
      </w:pPr>
      <w:bookmarkStart w:id="136" w:name="X878b41d5049f648719ddae99f0a2cfd04c85ebd"/>
      <w:bookmarkEnd w:id="131"/>
      <w:r>
        <w:t>Negative coping strategies and Reduced Coping Strategy Index (rCSI)</w:t>
      </w:r>
    </w:p>
    <w:p w14:paraId="42D69F12" w14:textId="527893F6" w:rsidR="006044F0" w:rsidRDefault="006044F0" w:rsidP="006044F0">
      <w:pPr>
        <w:jc w:val="both"/>
      </w:pPr>
      <w:r w:rsidRPr="006044F0">
        <w:t xml:space="preserve">When livelihoods are negatively affected by a shock /crisis, households may adopt various mechanisms (strategies) which are not adopted in a normal day-to-day life, to cope with reduced or declining access to food. Reduced Coping Strategy Index (rCSI) is often used as a proxy </w:t>
      </w:r>
      <w:r w:rsidRPr="006044F0">
        <w:lastRenderedPageBreak/>
        <w:t>indicator of household food insecurity. rCSI is based on a list of behaviors (coping strategies). It combines: (</w:t>
      </w:r>
      <w:proofErr w:type="spellStart"/>
      <w:r w:rsidRPr="006044F0">
        <w:t>i</w:t>
      </w:r>
      <w:proofErr w:type="spellEnd"/>
      <w:r w:rsidRPr="006044F0">
        <w:t>) the frequency of each strategy (how many times each strategy was adopted?); and (ii) their (severity) (how serious is each strategy?) for households reporting food consumption problems. Higher CSI indicates a worse food security situation and vice versa.</w:t>
      </w:r>
    </w:p>
    <w:p w14:paraId="7F95021D" w14:textId="73369BF8" w:rsidR="006044F0" w:rsidRPr="006044F0" w:rsidRDefault="006044F0" w:rsidP="006044F0">
      <w:pPr>
        <w:jc w:val="both"/>
      </w:pPr>
      <w:r w:rsidRPr="006044F0">
        <w:t>For each coping strategy, the frequency score (0 to 7) is multiplied by the universal severity weight. The weighted frequency scores are summed up into one final score</w:t>
      </w:r>
      <w:r>
        <w:rPr>
          <w:rStyle w:val="FootnoteReference"/>
        </w:rPr>
        <w:footnoteReference w:id="6"/>
      </w:r>
      <w:r>
        <w:t>.</w:t>
      </w:r>
    </w:p>
    <w:p w14:paraId="2CEB3723"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37" w:name="_Toc161945736"/>
      <w:r>
        <w:rPr>
          <w:b/>
        </w:rPr>
        <w:t xml:space="preserve">Table </w:t>
      </w:r>
      <w:bookmarkStart w:id="138" w:name="prop-negcop"/>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27</w:t>
      </w:r>
      <w:r>
        <w:rPr>
          <w:b/>
        </w:rPr>
        <w:fldChar w:fldCharType="end"/>
      </w:r>
      <w:bookmarkEnd w:id="138"/>
      <w:r>
        <w:rPr>
          <w:b/>
        </w:rPr>
        <w:t xml:space="preserve">: </w:t>
      </w:r>
      <w:r>
        <w:t xml:space="preserve">Negative coping strategies used by the surveyed population over the past 7 </w:t>
      </w:r>
      <w:proofErr w:type="gramStart"/>
      <w:r>
        <w:t>days</w:t>
      </w:r>
      <w:bookmarkEnd w:id="137"/>
      <w:proofErr w:type="gramEnd"/>
    </w:p>
    <w:tbl>
      <w:tblPr>
        <w:tblW w:w="5000" w:type="pct"/>
        <w:jc w:val="center"/>
        <w:tblLook w:val="0420" w:firstRow="1" w:lastRow="0" w:firstColumn="0" w:lastColumn="0" w:noHBand="0" w:noVBand="1"/>
      </w:tblPr>
      <w:tblGrid>
        <w:gridCol w:w="5605"/>
        <w:gridCol w:w="661"/>
        <w:gridCol w:w="1286"/>
        <w:gridCol w:w="1808"/>
      </w:tblGrid>
      <w:tr w:rsidR="00BC28CE" w14:paraId="46BAE4AC" w14:textId="77777777" w:rsidTr="006044F0">
        <w:trPr>
          <w:tblHeader/>
          <w:jc w:val="center"/>
        </w:trPr>
        <w:tc>
          <w:tcPr>
            <w:tcW w:w="2994"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6AEFF06"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353"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27A63B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687"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C4F675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966"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D3BB5D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445CDC90" w14:textId="77777777" w:rsidTr="006044F0">
        <w:trPr>
          <w:jc w:val="center"/>
        </w:trPr>
        <w:tc>
          <w:tcPr>
            <w:tcW w:w="2994"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E37AD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Rely on less preferred and/or less expensive foods</w:t>
            </w:r>
          </w:p>
        </w:tc>
        <w:tc>
          <w:tcPr>
            <w:tcW w:w="353"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EC7A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504</w:t>
            </w:r>
          </w:p>
        </w:tc>
        <w:tc>
          <w:tcPr>
            <w:tcW w:w="687"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22725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80.9%</w:t>
            </w:r>
          </w:p>
        </w:tc>
        <w:tc>
          <w:tcPr>
            <w:tcW w:w="966"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2D79A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(74.9%,</w:t>
            </w:r>
            <w:r>
              <w:rPr>
                <w:rFonts w:ascii="Arial" w:eastAsia="DejaVu Sans" w:hAnsi="DejaVu Sans" w:cs="DejaVu Sans"/>
                <w:color w:val="000000"/>
                <w:sz w:val="22"/>
                <w:szCs w:val="22"/>
              </w:rPr>
              <w:t> </w:t>
            </w:r>
            <w:r>
              <w:rPr>
                <w:rFonts w:ascii="Arial" w:eastAsia="DejaVu Sans" w:hAnsi="DejaVu Sans" w:cs="DejaVu Sans"/>
                <w:color w:val="000000"/>
                <w:sz w:val="22"/>
                <w:szCs w:val="22"/>
              </w:rPr>
              <w:t>85.8%)</w:t>
            </w:r>
          </w:p>
        </w:tc>
      </w:tr>
      <w:tr w:rsidR="00BC28CE" w14:paraId="74C5C66F" w14:textId="77777777" w:rsidTr="006044F0">
        <w:trPr>
          <w:jc w:val="center"/>
        </w:trPr>
        <w:tc>
          <w:tcPr>
            <w:tcW w:w="299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8656B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Borrow food, or rely on help from a friend or relative</w:t>
            </w:r>
          </w:p>
        </w:tc>
        <w:tc>
          <w:tcPr>
            <w:tcW w:w="35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1B921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412</w:t>
            </w:r>
          </w:p>
        </w:tc>
        <w:tc>
          <w:tcPr>
            <w:tcW w:w="687"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52198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66.0%</w:t>
            </w:r>
          </w:p>
        </w:tc>
        <w:tc>
          <w:tcPr>
            <w:tcW w:w="96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AA0D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(58.4%,</w:t>
            </w:r>
            <w:r>
              <w:rPr>
                <w:rFonts w:ascii="Arial" w:eastAsia="DejaVu Sans" w:hAnsi="DejaVu Sans" w:cs="DejaVu Sans"/>
                <w:color w:val="000000"/>
                <w:sz w:val="22"/>
                <w:szCs w:val="22"/>
              </w:rPr>
              <w:t> </w:t>
            </w:r>
            <w:r>
              <w:rPr>
                <w:rFonts w:ascii="Arial" w:eastAsia="DejaVu Sans" w:hAnsi="DejaVu Sans" w:cs="DejaVu Sans"/>
                <w:color w:val="000000"/>
                <w:sz w:val="22"/>
                <w:szCs w:val="22"/>
              </w:rPr>
              <w:t>72.9%)</w:t>
            </w:r>
          </w:p>
        </w:tc>
      </w:tr>
      <w:tr w:rsidR="00BC28CE" w14:paraId="505082F2" w14:textId="77777777" w:rsidTr="006044F0">
        <w:trPr>
          <w:jc w:val="center"/>
        </w:trPr>
        <w:tc>
          <w:tcPr>
            <w:tcW w:w="299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5A73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Limit portion sizes at mealtime</w:t>
            </w:r>
          </w:p>
        </w:tc>
        <w:tc>
          <w:tcPr>
            <w:tcW w:w="35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30C0E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483</w:t>
            </w:r>
          </w:p>
        </w:tc>
        <w:tc>
          <w:tcPr>
            <w:tcW w:w="687"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A714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77.7%</w:t>
            </w:r>
          </w:p>
        </w:tc>
        <w:tc>
          <w:tcPr>
            <w:tcW w:w="96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BD61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(71.3%,</w:t>
            </w:r>
            <w:r>
              <w:rPr>
                <w:rFonts w:ascii="Arial" w:eastAsia="DejaVu Sans" w:hAnsi="DejaVu Sans" w:cs="DejaVu Sans"/>
                <w:color w:val="000000"/>
                <w:sz w:val="22"/>
                <w:szCs w:val="22"/>
              </w:rPr>
              <w:t> </w:t>
            </w:r>
            <w:r>
              <w:rPr>
                <w:rFonts w:ascii="Arial" w:eastAsia="DejaVu Sans" w:hAnsi="DejaVu Sans" w:cs="DejaVu Sans"/>
                <w:color w:val="000000"/>
                <w:sz w:val="22"/>
                <w:szCs w:val="22"/>
              </w:rPr>
              <w:t>82.9%)</w:t>
            </w:r>
          </w:p>
        </w:tc>
      </w:tr>
      <w:tr w:rsidR="00BC28CE" w14:paraId="636F0BEE" w14:textId="77777777" w:rsidTr="006044F0">
        <w:trPr>
          <w:jc w:val="center"/>
        </w:trPr>
        <w:tc>
          <w:tcPr>
            <w:tcW w:w="2994"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BC55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Reduce the number of meals eaten in a day</w:t>
            </w:r>
          </w:p>
        </w:tc>
        <w:tc>
          <w:tcPr>
            <w:tcW w:w="35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32EDC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469</w:t>
            </w:r>
          </w:p>
        </w:tc>
        <w:tc>
          <w:tcPr>
            <w:tcW w:w="687"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7CA5B7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75.2%</w:t>
            </w:r>
          </w:p>
        </w:tc>
        <w:tc>
          <w:tcPr>
            <w:tcW w:w="966"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923F4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(68.5%,</w:t>
            </w:r>
            <w:r>
              <w:rPr>
                <w:rFonts w:ascii="Arial" w:eastAsia="DejaVu Sans" w:hAnsi="DejaVu Sans" w:cs="DejaVu Sans"/>
                <w:color w:val="000000"/>
                <w:sz w:val="22"/>
                <w:szCs w:val="22"/>
              </w:rPr>
              <w:t> </w:t>
            </w:r>
            <w:r>
              <w:rPr>
                <w:rFonts w:ascii="Arial" w:eastAsia="DejaVu Sans" w:hAnsi="DejaVu Sans" w:cs="DejaVu Sans"/>
                <w:color w:val="000000"/>
                <w:sz w:val="22"/>
                <w:szCs w:val="22"/>
              </w:rPr>
              <w:t>80.8%)</w:t>
            </w:r>
          </w:p>
        </w:tc>
      </w:tr>
      <w:tr w:rsidR="00BC28CE" w14:paraId="503068AD" w14:textId="77777777" w:rsidTr="006044F0">
        <w:trPr>
          <w:jc w:val="center"/>
        </w:trPr>
        <w:tc>
          <w:tcPr>
            <w:tcW w:w="2994"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6299D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Reduce consumption by adults so children could eat</w:t>
            </w:r>
          </w:p>
        </w:tc>
        <w:tc>
          <w:tcPr>
            <w:tcW w:w="353"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58465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317</w:t>
            </w:r>
          </w:p>
        </w:tc>
        <w:tc>
          <w:tcPr>
            <w:tcW w:w="687"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34105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50.8%</w:t>
            </w:r>
          </w:p>
        </w:tc>
        <w:tc>
          <w:tcPr>
            <w:tcW w:w="966"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078AA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(44.6%,</w:t>
            </w:r>
            <w:r>
              <w:rPr>
                <w:rFonts w:ascii="Arial" w:eastAsia="DejaVu Sans" w:hAnsi="DejaVu Sans" w:cs="DejaVu Sans"/>
                <w:color w:val="000000"/>
                <w:sz w:val="22"/>
                <w:szCs w:val="22"/>
              </w:rPr>
              <w:t> </w:t>
            </w:r>
            <w:r>
              <w:rPr>
                <w:rFonts w:ascii="Arial" w:eastAsia="DejaVu Sans" w:hAnsi="DejaVu Sans" w:cs="DejaVu Sans"/>
                <w:color w:val="000000"/>
                <w:sz w:val="22"/>
                <w:szCs w:val="22"/>
              </w:rPr>
              <w:t>57.0%)</w:t>
            </w:r>
          </w:p>
        </w:tc>
      </w:tr>
      <w:tr w:rsidR="00BC28CE" w14:paraId="06F74A42" w14:textId="77777777" w:rsidTr="006044F0">
        <w:trPr>
          <w:jc w:val="center"/>
        </w:trPr>
        <w:tc>
          <w:tcPr>
            <w:tcW w:w="5000" w:type="pct"/>
            <w:gridSpan w:val="4"/>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6C2C9FB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The total will be over 100% as households may use several negative coping strategies.</w:t>
            </w:r>
          </w:p>
        </w:tc>
      </w:tr>
    </w:tbl>
    <w:p w14:paraId="57E86A51" w14:textId="31BE9185" w:rsidR="00BC28CE" w:rsidRDefault="006044F0">
      <w:r w:rsidRPr="006044F0">
        <w:t>Mean coping strategy index improved from 15.6 in 2023 to 12.71 in 2024.</w:t>
      </w:r>
      <w:r w:rsidR="00000000">
        <w:br/>
      </w:r>
    </w:p>
    <w:p w14:paraId="0A4382F1"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39" w:name="_Toc161945737"/>
      <w:r>
        <w:rPr>
          <w:b/>
        </w:rPr>
        <w:t xml:space="preserve">Table </w:t>
      </w:r>
      <w:bookmarkStart w:id="140" w:name="mean-rcsi"/>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28</w:t>
      </w:r>
      <w:r>
        <w:rPr>
          <w:b/>
        </w:rPr>
        <w:fldChar w:fldCharType="end"/>
      </w:r>
      <w:bookmarkEnd w:id="140"/>
      <w:r>
        <w:rPr>
          <w:b/>
        </w:rPr>
        <w:t xml:space="preserve">: </w:t>
      </w:r>
      <w:r>
        <w:t>Average rCSI</w:t>
      </w:r>
      <w:bookmarkEnd w:id="139"/>
    </w:p>
    <w:tbl>
      <w:tblPr>
        <w:tblW w:w="0" w:type="auto"/>
        <w:jc w:val="center"/>
        <w:tblLayout w:type="fixed"/>
        <w:tblLook w:val="0420" w:firstRow="1" w:lastRow="0" w:firstColumn="0" w:lastColumn="0" w:noHBand="0" w:noVBand="1"/>
      </w:tblPr>
      <w:tblGrid>
        <w:gridCol w:w="3024"/>
        <w:gridCol w:w="1296"/>
        <w:gridCol w:w="2160"/>
        <w:gridCol w:w="720"/>
        <w:gridCol w:w="720"/>
        <w:gridCol w:w="720"/>
        <w:gridCol w:w="720"/>
      </w:tblGrid>
      <w:tr w:rsidR="00BC28CE" w14:paraId="7A4B2A48" w14:textId="77777777">
        <w:trPr>
          <w:tblHeader/>
          <w:jc w:val="center"/>
        </w:trPr>
        <w:tc>
          <w:tcPr>
            <w:tcW w:w="30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B02FF0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b/>
                <w:color w:val="FFFFFF"/>
                <w:sz w:val="22"/>
                <w:szCs w:val="22"/>
              </w:rPr>
              <w:t>Variable</w:t>
            </w:r>
          </w:p>
        </w:tc>
        <w:tc>
          <w:tcPr>
            <w:tcW w:w="129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CFEF1E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Mean</w:t>
            </w:r>
          </w:p>
        </w:tc>
        <w:tc>
          <w:tcPr>
            <w:tcW w:w="216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B9331DC"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95% CI</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8ECCA4B"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Obs.</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F198560"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SD</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11E7D74"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Min</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9BFB337"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Max</w:t>
            </w:r>
          </w:p>
        </w:tc>
      </w:tr>
      <w:tr w:rsidR="00BC28CE" w14:paraId="68E66DB7" w14:textId="77777777">
        <w:trPr>
          <w:jc w:val="center"/>
        </w:trPr>
        <w:tc>
          <w:tcPr>
            <w:tcW w:w="302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0A1FC2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000000"/>
                <w:sz w:val="22"/>
                <w:szCs w:val="22"/>
              </w:rPr>
              <w:t>Reduced Coping Strategy Index (rCSI)</w:t>
            </w:r>
          </w:p>
        </w:tc>
        <w:tc>
          <w:tcPr>
            <w:tcW w:w="1296"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154131A"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12.71</w:t>
            </w:r>
          </w:p>
        </w:tc>
        <w:tc>
          <w:tcPr>
            <w:tcW w:w="216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16DB49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(11.2,</w:t>
            </w:r>
            <w:r>
              <w:rPr>
                <w:rFonts w:ascii="Arial" w:eastAsia="DejaVu Sans" w:hAnsi="DejaVu Sans" w:cs="DejaVu Sans"/>
                <w:color w:val="000000"/>
                <w:sz w:val="22"/>
                <w:szCs w:val="22"/>
              </w:rPr>
              <w:t> </w:t>
            </w:r>
            <w:r>
              <w:rPr>
                <w:rFonts w:ascii="Arial" w:eastAsia="DejaVu Sans" w:hAnsi="DejaVu Sans" w:cs="DejaVu Sans"/>
                <w:color w:val="000000"/>
                <w:sz w:val="22"/>
                <w:szCs w:val="22"/>
              </w:rPr>
              <w:t>14.2)</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8B6177E"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621</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CB0024E"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8.82</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75559C2"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0</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0611EC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50</w:t>
            </w:r>
          </w:p>
        </w:tc>
      </w:tr>
      <w:tr w:rsidR="00BC28CE" w14:paraId="44715CB5" w14:textId="77777777">
        <w:trPr>
          <w:jc w:val="center"/>
        </w:trPr>
        <w:tc>
          <w:tcPr>
            <w:tcW w:w="9360" w:type="dxa"/>
            <w:gridSpan w:val="7"/>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6B0BF2E0"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Maximum rCSI is 56</w:t>
            </w:r>
          </w:p>
        </w:tc>
      </w:tr>
    </w:tbl>
    <w:p w14:paraId="4BFE63CB" w14:textId="44AAADAC" w:rsidR="00BC28CE" w:rsidRDefault="00BC28CE"/>
    <w:p w14:paraId="79474CFE" w14:textId="77777777" w:rsidR="00BC28CE" w:rsidRDefault="00000000">
      <w:pPr>
        <w:pStyle w:val="Heading5"/>
      </w:pPr>
      <w:bookmarkStart w:id="141" w:name="household-hunger-scale-hhs"/>
      <w:bookmarkEnd w:id="136"/>
      <w:r>
        <w:t>Household Hunger Scale (HHS)</w:t>
      </w:r>
    </w:p>
    <w:p w14:paraId="34906053" w14:textId="116BFD1E" w:rsidR="00DA230C" w:rsidRPr="00DA230C" w:rsidRDefault="00DA230C" w:rsidP="00DA230C">
      <w:pPr>
        <w:jc w:val="both"/>
      </w:pPr>
      <w:r w:rsidRPr="00DA230C">
        <w:t xml:space="preserve">The Household Hunger Scale (HHS) serves as a crucial indicator for measuring household hunger levels, assessing food deprivation experiences over the preceding 4 weeks or 30 days. By posing three specific questions, the HHS provides valuable insights into the prevalence of hunger, enabling monitoring of trends across countries and regions to gauge progress towards international development goals. Moreover, it facilitates the evaluation of food security situations, informing policy development and program implementation aimed at addressing food insecurity and hunger. The HHS also aids in the monitoring and assessment of the effectiveness of anti-hunger policies and programs, including those supported by specific donors across diverse cultural and geographic contexts. Additionally, it plays a vital role in early warning systems for </w:t>
      </w:r>
      <w:r w:rsidRPr="00DA230C">
        <w:lastRenderedPageBreak/>
        <w:t xml:space="preserve">nutrition and food security, as well as informing standardized classifications for food security and humanitarian phases. </w:t>
      </w:r>
    </w:p>
    <w:p w14:paraId="7CFA9206" w14:textId="77777777" w:rsidR="006044F0" w:rsidRPr="006044F0" w:rsidRDefault="006044F0" w:rsidP="006044F0"/>
    <w:p w14:paraId="3F619BD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42" w:name="_Toc161945738"/>
      <w:r>
        <w:rPr>
          <w:b/>
        </w:rPr>
        <w:t xml:space="preserve">Table </w:t>
      </w:r>
      <w:bookmarkStart w:id="143" w:name="median-hhs"/>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29</w:t>
      </w:r>
      <w:r>
        <w:rPr>
          <w:b/>
        </w:rPr>
        <w:fldChar w:fldCharType="end"/>
      </w:r>
      <w:bookmarkEnd w:id="143"/>
      <w:r>
        <w:rPr>
          <w:b/>
        </w:rPr>
        <w:t xml:space="preserve">: </w:t>
      </w:r>
      <w:r>
        <w:t>Median Household Hunger Score</w:t>
      </w:r>
      <w:bookmarkEnd w:id="142"/>
    </w:p>
    <w:tbl>
      <w:tblPr>
        <w:tblW w:w="5000" w:type="pct"/>
        <w:jc w:val="center"/>
        <w:tblLook w:val="0420" w:firstRow="1" w:lastRow="0" w:firstColumn="0" w:lastColumn="0" w:noHBand="0" w:noVBand="1"/>
      </w:tblPr>
      <w:tblGrid>
        <w:gridCol w:w="4840"/>
        <w:gridCol w:w="1292"/>
        <w:gridCol w:w="1614"/>
        <w:gridCol w:w="807"/>
        <w:gridCol w:w="807"/>
      </w:tblGrid>
      <w:tr w:rsidR="00BC28CE" w14:paraId="1849A0C8" w14:textId="77777777" w:rsidTr="00DA230C">
        <w:trPr>
          <w:tblHeader/>
          <w:jc w:val="center"/>
        </w:trPr>
        <w:tc>
          <w:tcPr>
            <w:tcW w:w="2586"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EA472C8"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FFFFFF"/>
                <w:sz w:val="22"/>
                <w:szCs w:val="22"/>
              </w:rPr>
              <w:t>Variable</w:t>
            </w:r>
          </w:p>
        </w:tc>
        <w:tc>
          <w:tcPr>
            <w:tcW w:w="690"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5D416CF"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FFFFFF"/>
                <w:sz w:val="22"/>
                <w:szCs w:val="22"/>
              </w:rPr>
              <w:t>Median</w:t>
            </w:r>
          </w:p>
        </w:tc>
        <w:tc>
          <w:tcPr>
            <w:tcW w:w="862"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47BC6DC"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FFFFFF"/>
                <w:sz w:val="22"/>
                <w:szCs w:val="22"/>
              </w:rPr>
              <w:t>IQR</w:t>
            </w:r>
          </w:p>
        </w:tc>
        <w:tc>
          <w:tcPr>
            <w:tcW w:w="431"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B88C09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FFFFFF"/>
                <w:sz w:val="22"/>
                <w:szCs w:val="22"/>
              </w:rPr>
              <w:t>Min</w:t>
            </w:r>
          </w:p>
        </w:tc>
        <w:tc>
          <w:tcPr>
            <w:tcW w:w="431"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8510C17"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FFFFFF"/>
                <w:sz w:val="22"/>
                <w:szCs w:val="22"/>
              </w:rPr>
              <w:t>Max</w:t>
            </w:r>
          </w:p>
        </w:tc>
      </w:tr>
      <w:tr w:rsidR="00BC28CE" w14:paraId="04A0C5D7" w14:textId="77777777" w:rsidTr="00DA230C">
        <w:trPr>
          <w:jc w:val="center"/>
        </w:trPr>
        <w:tc>
          <w:tcPr>
            <w:tcW w:w="2586" w:type="pc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BA9C4A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000000"/>
                <w:sz w:val="22"/>
                <w:szCs w:val="22"/>
              </w:rPr>
              <w:t>Household Hunger Scale</w:t>
            </w:r>
          </w:p>
        </w:tc>
        <w:tc>
          <w:tcPr>
            <w:tcW w:w="690" w:type="pc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AE992F5"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w:t>
            </w:r>
          </w:p>
        </w:tc>
        <w:tc>
          <w:tcPr>
            <w:tcW w:w="862" w:type="pc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DB79082"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[0 - 2]</w:t>
            </w:r>
          </w:p>
        </w:tc>
        <w:tc>
          <w:tcPr>
            <w:tcW w:w="431" w:type="pc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62F73F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0</w:t>
            </w:r>
          </w:p>
        </w:tc>
        <w:tc>
          <w:tcPr>
            <w:tcW w:w="431" w:type="pc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581838E"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3</w:t>
            </w:r>
          </w:p>
        </w:tc>
      </w:tr>
      <w:tr w:rsidR="00BC28CE" w14:paraId="75C29D9F" w14:textId="77777777" w:rsidTr="00DA230C">
        <w:trPr>
          <w:jc w:val="center"/>
        </w:trPr>
        <w:tc>
          <w:tcPr>
            <w:tcW w:w="5000" w:type="pct"/>
            <w:gridSpan w:val="5"/>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26D2884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Maximum HHS is 6</w:t>
            </w:r>
          </w:p>
        </w:tc>
      </w:tr>
    </w:tbl>
    <w:p w14:paraId="4625E5CE" w14:textId="1EE0FD02" w:rsidR="00BC28CE" w:rsidRDefault="00DA230C">
      <w:r w:rsidRPr="00DA230C">
        <w:t>Notably, in 2024, there was an increase in households with moderate hunger scores, rising from 37.8% in 2023 to 43.8%. Furthermore, there was a notable absence of severe household hunger scores in 2024.</w:t>
      </w:r>
      <w:r w:rsidR="00000000">
        <w:br/>
      </w:r>
    </w:p>
    <w:p w14:paraId="36EDF23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44" w:name="_Toc161945739"/>
      <w:r>
        <w:rPr>
          <w:b/>
        </w:rPr>
        <w:t xml:space="preserve">Table </w:t>
      </w:r>
      <w:bookmarkStart w:id="145" w:name="prop-hhs"/>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30</w:t>
      </w:r>
      <w:r>
        <w:rPr>
          <w:b/>
        </w:rPr>
        <w:fldChar w:fldCharType="end"/>
      </w:r>
      <w:bookmarkEnd w:id="145"/>
      <w:r>
        <w:rPr>
          <w:b/>
        </w:rPr>
        <w:t xml:space="preserve">: </w:t>
      </w:r>
      <w:r>
        <w:t>Household Hunger Score by Category</w:t>
      </w:r>
      <w:bookmarkEnd w:id="144"/>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4599AF66"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17214C6"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093E63D"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4F4AB17"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9549826"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D5DE150"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1B051F44"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3EAC7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Little to no hunger in the household</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0EBC5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350</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01265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56.2%</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CC560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(48.3%,</w:t>
            </w:r>
            <w:r>
              <w:rPr>
                <w:rFonts w:ascii="Arial" w:eastAsia="DejaVu Sans" w:hAnsi="DejaVu Sans" w:cs="DejaVu Sans"/>
                <w:color w:val="000000"/>
                <w:sz w:val="22"/>
                <w:szCs w:val="22"/>
              </w:rPr>
              <w:t> </w:t>
            </w:r>
            <w:r>
              <w:rPr>
                <w:rFonts w:ascii="Arial" w:eastAsia="DejaVu Sans" w:hAnsi="DejaVu Sans" w:cs="DejaVu Sans"/>
                <w:color w:val="000000"/>
                <w:sz w:val="22"/>
                <w:szCs w:val="22"/>
              </w:rPr>
              <w:t>63.8%)</w:t>
            </w:r>
          </w:p>
        </w:tc>
      </w:tr>
      <w:tr w:rsidR="00BC28CE" w14:paraId="015152F2"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8D35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0</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A5B27E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0</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16C2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240</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2EA7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38.5%</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E048A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(31.1%,</w:t>
            </w:r>
            <w:r>
              <w:rPr>
                <w:rFonts w:ascii="Arial" w:eastAsia="DejaVu Sans" w:hAnsi="DejaVu Sans" w:cs="DejaVu Sans"/>
                <w:color w:val="000000"/>
                <w:sz w:val="22"/>
                <w:szCs w:val="22"/>
              </w:rPr>
              <w:t> </w:t>
            </w:r>
            <w:r>
              <w:rPr>
                <w:rFonts w:ascii="Arial" w:eastAsia="DejaVu Sans" w:hAnsi="DejaVu Sans" w:cs="DejaVu Sans"/>
                <w:color w:val="000000"/>
                <w:sz w:val="22"/>
                <w:szCs w:val="22"/>
              </w:rPr>
              <w:t>46.5%)</w:t>
            </w:r>
          </w:p>
        </w:tc>
      </w:tr>
      <w:tr w:rsidR="00BC28CE" w14:paraId="2771F980"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E7D19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35FCF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1</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979C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C530A8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17.7%</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C6A3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(13.8%,</w:t>
            </w:r>
            <w:r>
              <w:rPr>
                <w:rFonts w:ascii="Arial" w:eastAsia="DejaVu Sans" w:hAnsi="DejaVu Sans" w:cs="DejaVu Sans"/>
                <w:color w:val="000000"/>
                <w:sz w:val="22"/>
                <w:szCs w:val="22"/>
              </w:rPr>
              <w:t> </w:t>
            </w:r>
            <w:r>
              <w:rPr>
                <w:rFonts w:ascii="Arial" w:eastAsia="DejaVu Sans" w:hAnsi="DejaVu Sans" w:cs="DejaVu Sans"/>
                <w:color w:val="000000"/>
                <w:sz w:val="22"/>
                <w:szCs w:val="22"/>
              </w:rPr>
              <w:t>22.3%)</w:t>
            </w:r>
          </w:p>
        </w:tc>
      </w:tr>
      <w:tr w:rsidR="00BC28CE" w14:paraId="325A0076"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A7D6F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Moderate hunger in the household</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92A7C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273</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DEBAB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43.8%</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51BB0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(36.2%,</w:t>
            </w:r>
            <w:r>
              <w:rPr>
                <w:rFonts w:ascii="Arial" w:eastAsia="DejaVu Sans" w:hAnsi="DejaVu Sans" w:cs="DejaVu Sans"/>
                <w:color w:val="000000"/>
                <w:sz w:val="22"/>
                <w:szCs w:val="22"/>
              </w:rPr>
              <w:t> </w:t>
            </w:r>
            <w:r>
              <w:rPr>
                <w:rFonts w:ascii="Arial" w:eastAsia="DejaVu Sans" w:hAnsi="DejaVu Sans" w:cs="DejaVu Sans"/>
                <w:color w:val="000000"/>
                <w:sz w:val="22"/>
                <w:szCs w:val="22"/>
              </w:rPr>
              <w:t>51.7%)</w:t>
            </w:r>
          </w:p>
        </w:tc>
      </w:tr>
      <w:tr w:rsidR="00BC28CE" w14:paraId="4EE86046"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D088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1F19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2</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C1557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181</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D4EF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29.1%</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F94C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(22.4%,</w:t>
            </w:r>
            <w:r>
              <w:rPr>
                <w:rFonts w:ascii="Arial" w:eastAsia="DejaVu Sans" w:hAnsi="DejaVu Sans" w:cs="DejaVu Sans"/>
                <w:color w:val="000000"/>
                <w:sz w:val="22"/>
                <w:szCs w:val="22"/>
              </w:rPr>
              <w:t> </w:t>
            </w:r>
            <w:r>
              <w:rPr>
                <w:rFonts w:ascii="Arial" w:eastAsia="DejaVu Sans" w:hAnsi="DejaVu Sans" w:cs="DejaVu Sans"/>
                <w:color w:val="000000"/>
                <w:sz w:val="22"/>
                <w:szCs w:val="22"/>
              </w:rPr>
              <w:t>36.8%)</w:t>
            </w:r>
          </w:p>
        </w:tc>
      </w:tr>
      <w:tr w:rsidR="00BC28CE" w14:paraId="722ABCF1"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3C242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E7B707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3</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9684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92</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6FE6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14.8%</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4DD8B0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(11.0%,</w:t>
            </w:r>
            <w:r>
              <w:rPr>
                <w:rFonts w:ascii="Arial" w:eastAsia="DejaVu Sans" w:hAnsi="DejaVu Sans" w:cs="DejaVu Sans"/>
                <w:color w:val="000000"/>
                <w:sz w:val="22"/>
                <w:szCs w:val="22"/>
              </w:rPr>
              <w:t> </w:t>
            </w:r>
            <w:r>
              <w:rPr>
                <w:rFonts w:ascii="Arial" w:eastAsia="DejaVu Sans" w:hAnsi="DejaVu Sans" w:cs="DejaVu Sans"/>
                <w:color w:val="000000"/>
                <w:sz w:val="22"/>
                <w:szCs w:val="22"/>
              </w:rPr>
              <w:t>19.5%)</w:t>
            </w:r>
          </w:p>
        </w:tc>
      </w:tr>
      <w:tr w:rsidR="00BC28CE" w14:paraId="6ED0D483"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C9F55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Severe hunger in the household</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78F86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829C88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5FEE6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75DC9A92"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C759E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4</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3E1B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4</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BAFD8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9CCB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E3EAF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3501A112"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22D9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5</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F4B8E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6725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1D46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1613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1643A34C"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A8CF8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6</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D381C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HHS = 6</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C9FF0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EEC96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546C0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000E1248"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3BDC60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107DF3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623</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AE7EC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3E7094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36E000E4" w14:textId="77777777" w:rsidR="00BC28CE" w:rsidRDefault="00000000">
      <w:r>
        <w:br/>
      </w:r>
    </w:p>
    <w:p w14:paraId="4A8EEF2A" w14:textId="77777777" w:rsidR="00BC28CE" w:rsidRDefault="00000000">
      <w:pPr>
        <w:pStyle w:val="Heading4"/>
      </w:pPr>
      <w:bookmarkStart w:id="146" w:name="wash"/>
      <w:bookmarkEnd w:id="130"/>
      <w:bookmarkEnd w:id="141"/>
      <w:r>
        <w:t>WASH</w:t>
      </w:r>
    </w:p>
    <w:p w14:paraId="6879F88B" w14:textId="77777777" w:rsidR="00BC28CE" w:rsidRDefault="00000000">
      <w:pPr>
        <w:pStyle w:val="Heading5"/>
      </w:pPr>
      <w:bookmarkStart w:id="147" w:name="X6265b5182abd484406773f386c4db55a9e6130b"/>
      <w:r>
        <w:t>Access to safe/improved water for drinking and cooking</w:t>
      </w:r>
    </w:p>
    <w:p w14:paraId="69C8DB14" w14:textId="048C9189" w:rsidR="00DA230C" w:rsidRPr="00DA230C" w:rsidRDefault="00C24D73" w:rsidP="00C24D73">
      <w:pPr>
        <w:jc w:val="both"/>
      </w:pPr>
      <w:r w:rsidRPr="00C24D73">
        <w:t xml:space="preserve">Access to safe and improved water sources for drinking and cooking is essential for ensuring the health and well-being of households. The proportion of households accessing water from protected sources remained stable, with 69.3% in 2024, </w:t>
      </w:r>
      <w:proofErr w:type="gramStart"/>
      <w:r w:rsidRPr="00C24D73">
        <w:t>similar to</w:t>
      </w:r>
      <w:proofErr w:type="gramEnd"/>
      <w:r w:rsidRPr="00C24D73">
        <w:t xml:space="preserve"> the figure of 69.2% recorded in 2023. However, there was a notable increase in the percentage of households accessing </w:t>
      </w:r>
      <w:r w:rsidRPr="00C24D73">
        <w:lastRenderedPageBreak/>
        <w:t>drinking water from water kiosks, rising from 5.3% in 2023 to 11.2% in 2024. Among the protected sources, the most common were public taps or standpipes, accounting for 27.4% of households, followed by piped connections to houses or neighboring houses at 23.0%. Conversely, a significant proportion of households, 30.7%, accessed water from un-protected or un-treated sources, including unprotected hand-dug wells (12.4%) and surface water such as lakes, ponds, dams, or rivers (15.4%).</w:t>
      </w:r>
    </w:p>
    <w:p w14:paraId="2A40E7FB"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48" w:name="_Toc161945740"/>
      <w:r>
        <w:rPr>
          <w:b/>
        </w:rPr>
        <w:t xml:space="preserve">Table </w:t>
      </w:r>
      <w:bookmarkStart w:id="149" w:name="prop-waterqual"/>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31</w:t>
      </w:r>
      <w:r>
        <w:rPr>
          <w:b/>
        </w:rPr>
        <w:fldChar w:fldCharType="end"/>
      </w:r>
      <w:bookmarkEnd w:id="149"/>
      <w:r>
        <w:rPr>
          <w:b/>
        </w:rPr>
        <w:t xml:space="preserve">: </w:t>
      </w:r>
      <w:r>
        <w:t>Water Quality (Adapt list to water sources available in the local setting)</w:t>
      </w:r>
      <w:bookmarkEnd w:id="148"/>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5F5F4BFE"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71048D9"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bookmarkStart w:id="150" w:name="_Hlk162209184"/>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6C77D4E"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E1EF65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4DC9196"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CCA139D"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69925F3B"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5F346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bookmarkStart w:id="151" w:name="_Hlk162209170"/>
            <w:r>
              <w:rPr>
                <w:rFonts w:ascii="Arial" w:eastAsia="DejaVu Sans" w:hAnsi="DejaVu Sans" w:cs="DejaVu Sans"/>
                <w:color w:val="000000"/>
                <w:sz w:val="22"/>
                <w:szCs w:val="22"/>
              </w:rPr>
              <w:t>Protected/treated</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0F51B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432</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635DE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69.3%</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B9761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(55.1%,</w:t>
            </w:r>
            <w:r>
              <w:rPr>
                <w:rFonts w:ascii="Arial" w:eastAsia="DejaVu Sans" w:hAnsi="DejaVu Sans" w:cs="DejaVu Sans"/>
                <w:color w:val="000000"/>
                <w:sz w:val="22"/>
                <w:szCs w:val="22"/>
              </w:rPr>
              <w:t> </w:t>
            </w:r>
            <w:r>
              <w:rPr>
                <w:rFonts w:ascii="Arial" w:eastAsia="DejaVu Sans" w:hAnsi="DejaVu Sans" w:cs="DejaVu Sans"/>
                <w:color w:val="000000"/>
                <w:sz w:val="22"/>
                <w:szCs w:val="22"/>
              </w:rPr>
              <w:t>80.7%)</w:t>
            </w:r>
          </w:p>
        </w:tc>
      </w:tr>
      <w:bookmarkEnd w:id="151"/>
      <w:tr w:rsidR="00BC28CE" w14:paraId="13720F2E"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5C55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4D59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Public tap/standpipe</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71572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171</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2A5B3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27.4%</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F985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(18.0%,</w:t>
            </w:r>
            <w:r>
              <w:rPr>
                <w:rFonts w:ascii="Arial" w:eastAsia="DejaVu Sans" w:hAnsi="DejaVu Sans" w:cs="DejaVu Sans"/>
                <w:color w:val="000000"/>
                <w:sz w:val="22"/>
                <w:szCs w:val="22"/>
              </w:rPr>
              <w:t> </w:t>
            </w:r>
            <w:r>
              <w:rPr>
                <w:rFonts w:ascii="Arial" w:eastAsia="DejaVu Sans" w:hAnsi="DejaVu Sans" w:cs="DejaVu Sans"/>
                <w:color w:val="000000"/>
                <w:sz w:val="22"/>
                <w:szCs w:val="22"/>
              </w:rPr>
              <w:t>39.5%)</w:t>
            </w:r>
          </w:p>
        </w:tc>
      </w:tr>
      <w:tr w:rsidR="00BC28CE" w14:paraId="163CE4BC"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BD07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3E1A7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Handpumps/boreholes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F4287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41</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BC1DA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6.6%</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E4E5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(2.7%,</w:t>
            </w:r>
            <w:r>
              <w:rPr>
                <w:rFonts w:ascii="Arial" w:eastAsia="DejaVu Sans" w:hAnsi="DejaVu Sans" w:cs="DejaVu Sans"/>
                <w:color w:val="000000"/>
                <w:sz w:val="22"/>
                <w:szCs w:val="22"/>
              </w:rPr>
              <w:t> </w:t>
            </w:r>
            <w:r>
              <w:rPr>
                <w:rFonts w:ascii="Arial" w:eastAsia="DejaVu Sans" w:hAnsi="DejaVu Sans" w:cs="DejaVu Sans"/>
                <w:color w:val="000000"/>
                <w:sz w:val="22"/>
                <w:szCs w:val="22"/>
              </w:rPr>
              <w:t>15.0%)</w:t>
            </w:r>
          </w:p>
        </w:tc>
      </w:tr>
      <w:tr w:rsidR="00BC28CE" w14:paraId="1853BC97"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1FB12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FDBE9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Protected well</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8B67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0177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84D4B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(0.3%,</w:t>
            </w:r>
            <w:r>
              <w:rPr>
                <w:rFonts w:ascii="Arial" w:eastAsia="DejaVu Sans" w:hAnsi="DejaVu Sans" w:cs="DejaVu Sans"/>
                <w:color w:val="000000"/>
                <w:sz w:val="22"/>
                <w:szCs w:val="22"/>
              </w:rPr>
              <w:t> </w:t>
            </w:r>
            <w:r>
              <w:rPr>
                <w:rFonts w:ascii="Arial" w:eastAsia="DejaVu Sans" w:hAnsi="DejaVu Sans" w:cs="DejaVu Sans"/>
                <w:color w:val="000000"/>
                <w:sz w:val="22"/>
                <w:szCs w:val="22"/>
              </w:rPr>
              <w:t>4.8%)</w:t>
            </w:r>
          </w:p>
        </w:tc>
      </w:tr>
      <w:tr w:rsidR="00BC28CE" w14:paraId="6B6EB248"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76A97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4</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505E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Water seller/kiosks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50A7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52DFE0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11.2%</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760A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(5.0%,</w:t>
            </w:r>
            <w:r>
              <w:rPr>
                <w:rFonts w:ascii="Arial" w:eastAsia="DejaVu Sans" w:hAnsi="DejaVu Sans" w:cs="DejaVu Sans"/>
                <w:color w:val="000000"/>
                <w:sz w:val="22"/>
                <w:szCs w:val="22"/>
              </w:rPr>
              <w:t> </w:t>
            </w:r>
            <w:r>
              <w:rPr>
                <w:rFonts w:ascii="Arial" w:eastAsia="DejaVu Sans" w:hAnsi="DejaVu Sans" w:cs="DejaVu Sans"/>
                <w:color w:val="000000"/>
                <w:sz w:val="22"/>
                <w:szCs w:val="22"/>
              </w:rPr>
              <w:t>23.3%)</w:t>
            </w:r>
          </w:p>
        </w:tc>
      </w:tr>
      <w:tr w:rsidR="00BC28CE" w14:paraId="50D316B6"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0BA53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5</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1DF8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Piped connection to house (or neighbour's house)</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3C2B5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143</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FA9F2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23.0%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B877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(14.6%,</w:t>
            </w:r>
            <w:r>
              <w:rPr>
                <w:rFonts w:ascii="Arial" w:eastAsia="DejaVu Sans" w:hAnsi="DejaVu Sans" w:cs="DejaVu Sans"/>
                <w:color w:val="000000"/>
                <w:sz w:val="22"/>
                <w:szCs w:val="22"/>
              </w:rPr>
              <w:t> </w:t>
            </w:r>
            <w:r>
              <w:rPr>
                <w:rFonts w:ascii="Arial" w:eastAsia="DejaVu Sans" w:hAnsi="DejaVu Sans" w:cs="DejaVu Sans"/>
                <w:color w:val="000000"/>
                <w:sz w:val="22"/>
                <w:szCs w:val="22"/>
              </w:rPr>
              <w:t>34.2%)</w:t>
            </w:r>
          </w:p>
        </w:tc>
      </w:tr>
      <w:tr w:rsidR="00BC28CE" w14:paraId="34244E0F"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D1B24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6</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47A6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Protected spring</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DC48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C93A3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CB2A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073C744D"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D351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7</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FD4E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Bottled water, water sachets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AAD4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CB298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9668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4E3EA078"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4661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8</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154A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Tanker trucks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D5F72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277FAD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DF229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16496C02"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39EFC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Un-protected/un-treated</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548A8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191</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F8215C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30.7%</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C8931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(19.3%,</w:t>
            </w:r>
            <w:r>
              <w:rPr>
                <w:rFonts w:ascii="Arial" w:eastAsia="DejaVu Sans" w:hAnsi="DejaVu Sans" w:cs="DejaVu Sans"/>
                <w:color w:val="000000"/>
                <w:sz w:val="22"/>
                <w:szCs w:val="22"/>
              </w:rPr>
              <w:t> </w:t>
            </w:r>
            <w:r>
              <w:rPr>
                <w:rFonts w:ascii="Arial" w:eastAsia="DejaVu Sans" w:hAnsi="DejaVu Sans" w:cs="DejaVu Sans"/>
                <w:color w:val="000000"/>
                <w:sz w:val="22"/>
                <w:szCs w:val="22"/>
              </w:rPr>
              <w:t>44.9%)</w:t>
            </w:r>
          </w:p>
        </w:tc>
      </w:tr>
      <w:tr w:rsidR="00BC28CE" w14:paraId="039100F2"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C141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9</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0CBE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Unprotected hand-dug well</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1F90F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77</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CC28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12.4%</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3028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w:t>
            </w:r>
            <w:r>
              <w:rPr>
                <w:rFonts w:ascii="Arial" w:eastAsia="DejaVu Sans" w:hAnsi="DejaVu Sans" w:cs="DejaVu Sans"/>
                <w:color w:val="000000"/>
                <w:sz w:val="22"/>
                <w:szCs w:val="22"/>
              </w:rPr>
              <w:t> </w:t>
            </w:r>
            <w:r>
              <w:rPr>
                <w:rFonts w:ascii="Arial" w:eastAsia="DejaVu Sans" w:hAnsi="DejaVu Sans" w:cs="DejaVu Sans"/>
                <w:color w:val="000000"/>
                <w:sz w:val="22"/>
                <w:szCs w:val="22"/>
              </w:rPr>
              <w:t>25.2%)</w:t>
            </w:r>
          </w:p>
        </w:tc>
      </w:tr>
      <w:tr w:rsidR="00BC28CE" w14:paraId="02362881"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DDF53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10</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A152C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Surface water (lake, pond, dam, river)</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629FA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96</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92FA8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15.4%</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A2878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(7.6%,</w:t>
            </w:r>
            <w:r>
              <w:rPr>
                <w:rFonts w:ascii="Arial" w:eastAsia="DejaVu Sans" w:hAnsi="DejaVu Sans" w:cs="DejaVu Sans"/>
                <w:color w:val="000000"/>
                <w:sz w:val="22"/>
                <w:szCs w:val="22"/>
              </w:rPr>
              <w:t> </w:t>
            </w:r>
            <w:r>
              <w:rPr>
                <w:rFonts w:ascii="Arial" w:eastAsia="DejaVu Sans" w:hAnsi="DejaVu Sans" w:cs="DejaVu Sans"/>
                <w:color w:val="000000"/>
                <w:sz w:val="22"/>
                <w:szCs w:val="22"/>
              </w:rPr>
              <w:t>28.8%)</w:t>
            </w:r>
          </w:p>
        </w:tc>
      </w:tr>
      <w:tr w:rsidR="00BC28CE" w14:paraId="585D1B58"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BC84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11</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22C07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Unprotected spring</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3F5D3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6E6FC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6694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(0.3%,</w:t>
            </w:r>
            <w:r>
              <w:rPr>
                <w:rFonts w:ascii="Arial" w:eastAsia="DejaVu Sans" w:hAnsi="DejaVu Sans" w:cs="DejaVu Sans"/>
                <w:color w:val="000000"/>
                <w:sz w:val="22"/>
                <w:szCs w:val="22"/>
              </w:rPr>
              <w:t> </w:t>
            </w:r>
            <w:r>
              <w:rPr>
                <w:rFonts w:ascii="Arial" w:eastAsia="DejaVu Sans" w:hAnsi="DejaVu Sans" w:cs="DejaVu Sans"/>
                <w:color w:val="000000"/>
                <w:sz w:val="22"/>
                <w:szCs w:val="22"/>
              </w:rPr>
              <w:t>3.3%)</w:t>
            </w:r>
          </w:p>
        </w:tc>
      </w:tr>
      <w:tr w:rsidR="00BC28CE" w14:paraId="08382523"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EED53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7655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gramStart"/>
            <w:r>
              <w:rPr>
                <w:rFonts w:ascii="Arial" w:eastAsia="DejaVu Sans" w:hAnsi="DejaVu Sans" w:cs="DejaVu Sans"/>
                <w:color w:val="000000"/>
                <w:sz w:val="22"/>
                <w:szCs w:val="22"/>
              </w:rPr>
              <w:t>Rain water</w:t>
            </w:r>
            <w:proofErr w:type="gramEnd"/>
            <w:r>
              <w:rPr>
                <w:rFonts w:ascii="Arial" w:eastAsia="DejaVu Sans" w:hAnsi="DejaVu Sans" w:cs="DejaVu Sans"/>
                <w:color w:val="000000"/>
                <w:sz w:val="22"/>
                <w:szCs w:val="22"/>
              </w:rPr>
              <w:t xml:space="preserve"> collection</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AABF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8725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0.6%</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C636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(0.1%,</w:t>
            </w:r>
            <w:r>
              <w:rPr>
                <w:rFonts w:ascii="Arial" w:eastAsia="DejaVu Sans" w:hAnsi="DejaVu Sans" w:cs="DejaVu Sans"/>
                <w:color w:val="000000"/>
                <w:sz w:val="22"/>
                <w:szCs w:val="22"/>
              </w:rPr>
              <w:t> </w:t>
            </w:r>
            <w:r>
              <w:rPr>
                <w:rFonts w:ascii="Arial" w:eastAsia="DejaVu Sans" w:hAnsi="DejaVu Sans" w:cs="DejaVu Sans"/>
                <w:color w:val="000000"/>
                <w:sz w:val="22"/>
                <w:szCs w:val="22"/>
              </w:rPr>
              <w:t>3.1%)</w:t>
            </w:r>
          </w:p>
        </w:tc>
      </w:tr>
      <w:tr w:rsidR="00BC28CE" w14:paraId="1CED570B"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F55D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96</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BFF6B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Other unprotected</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BBB0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67C2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AE04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(0.4%,</w:t>
            </w:r>
            <w:r>
              <w:rPr>
                <w:rFonts w:ascii="Arial" w:eastAsia="DejaVu Sans" w:hAnsi="DejaVu Sans" w:cs="DejaVu Sans"/>
                <w:color w:val="000000"/>
                <w:sz w:val="22"/>
                <w:szCs w:val="22"/>
              </w:rPr>
              <w:t> </w:t>
            </w:r>
            <w:r>
              <w:rPr>
                <w:rFonts w:ascii="Arial" w:eastAsia="DejaVu Sans" w:hAnsi="DejaVu Sans" w:cs="DejaVu Sans"/>
                <w:color w:val="000000"/>
                <w:sz w:val="22"/>
                <w:szCs w:val="22"/>
              </w:rPr>
              <w:t>4.0%)</w:t>
            </w:r>
          </w:p>
        </w:tc>
      </w:tr>
      <w:tr w:rsidR="00BC28CE" w14:paraId="5815FA6E"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830FB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Unknown</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A280B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D56E2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9485C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3E126808"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E3530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98</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8F46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Don't know</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87B7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8E31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1E07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44A4E7DD"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632DCD1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6F2242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623</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105468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114CA6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bookmarkEnd w:id="150"/>
    <w:p w14:paraId="055FEF44" w14:textId="77777777" w:rsidR="00BC28CE" w:rsidRDefault="00000000">
      <w:r>
        <w:br/>
      </w:r>
    </w:p>
    <w:p w14:paraId="4C6ABF5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52" w:name="_Toc161945741"/>
      <w:r>
        <w:rPr>
          <w:b/>
        </w:rPr>
        <w:t xml:space="preserve">Table </w:t>
      </w:r>
      <w:bookmarkStart w:id="153" w:name="prop-watertreat"/>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32</w:t>
      </w:r>
      <w:r>
        <w:rPr>
          <w:b/>
        </w:rPr>
        <w:fldChar w:fldCharType="end"/>
      </w:r>
      <w:bookmarkEnd w:id="153"/>
      <w:r>
        <w:rPr>
          <w:b/>
        </w:rPr>
        <w:t xml:space="preserve">: </w:t>
      </w:r>
      <w:r>
        <w:t xml:space="preserve">Proportion of households practicing household water </w:t>
      </w:r>
      <w:proofErr w:type="gramStart"/>
      <w:r>
        <w:t>treatment</w:t>
      </w:r>
      <w:bookmarkEnd w:id="152"/>
      <w:proofErr w:type="gramEnd"/>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11D01C94"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63B834A"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4286C13"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DC6E59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263107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D7BCF64"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712E393F"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7E506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84860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215</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B99F9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34.5%</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D145C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(26.8%,</w:t>
            </w:r>
            <w:r>
              <w:rPr>
                <w:rFonts w:ascii="Arial" w:eastAsia="DejaVu Sans" w:hAnsi="DejaVu Sans" w:cs="DejaVu Sans"/>
                <w:color w:val="000000"/>
                <w:sz w:val="22"/>
                <w:szCs w:val="22"/>
              </w:rPr>
              <w:t> </w:t>
            </w:r>
            <w:r>
              <w:rPr>
                <w:rFonts w:ascii="Arial" w:eastAsia="DejaVu Sans" w:hAnsi="DejaVu Sans" w:cs="DejaVu Sans"/>
                <w:color w:val="000000"/>
                <w:sz w:val="22"/>
                <w:szCs w:val="22"/>
              </w:rPr>
              <w:t>43.1%)</w:t>
            </w:r>
          </w:p>
        </w:tc>
      </w:tr>
      <w:tr w:rsidR="00BC28CE" w14:paraId="7B435964"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5572B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lastRenderedPageBreak/>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2928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always treat it before drinking</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168D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101</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4F04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16.2%</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6204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(11.2%,</w:t>
            </w:r>
            <w:r>
              <w:rPr>
                <w:rFonts w:ascii="Arial" w:eastAsia="DejaVu Sans" w:hAnsi="DejaVu Sans" w:cs="DejaVu Sans"/>
                <w:color w:val="000000"/>
                <w:sz w:val="22"/>
                <w:szCs w:val="22"/>
              </w:rPr>
              <w:t> </w:t>
            </w:r>
            <w:r>
              <w:rPr>
                <w:rFonts w:ascii="Arial" w:eastAsia="DejaVu Sans" w:hAnsi="DejaVu Sans" w:cs="DejaVu Sans"/>
                <w:color w:val="000000"/>
                <w:sz w:val="22"/>
                <w:szCs w:val="22"/>
              </w:rPr>
              <w:t>22.9%)</w:t>
            </w:r>
          </w:p>
        </w:tc>
      </w:tr>
      <w:tr w:rsidR="00BC28CE" w14:paraId="211DEF9A"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C941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DCBC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sometimes treat it before drinking</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28802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114</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C8D1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18.3%</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143A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(12.8%,</w:t>
            </w:r>
            <w:r>
              <w:rPr>
                <w:rFonts w:ascii="Arial" w:eastAsia="DejaVu Sans" w:hAnsi="DejaVu Sans" w:cs="DejaVu Sans"/>
                <w:color w:val="000000"/>
                <w:sz w:val="22"/>
                <w:szCs w:val="22"/>
              </w:rPr>
              <w:t> </w:t>
            </w:r>
            <w:r>
              <w:rPr>
                <w:rFonts w:ascii="Arial" w:eastAsia="DejaVu Sans" w:hAnsi="DejaVu Sans" w:cs="DejaVu Sans"/>
                <w:color w:val="000000"/>
                <w:sz w:val="22"/>
                <w:szCs w:val="22"/>
              </w:rPr>
              <w:t>25.3%)</w:t>
            </w:r>
          </w:p>
        </w:tc>
      </w:tr>
      <w:tr w:rsidR="00BC28CE" w14:paraId="6AA09D05"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47DAE5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49690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409</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F328E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65.5%</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194F5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(56.9%,</w:t>
            </w:r>
            <w:r>
              <w:rPr>
                <w:rFonts w:ascii="Arial" w:eastAsia="DejaVu Sans" w:hAnsi="DejaVu Sans" w:cs="DejaVu Sans"/>
                <w:color w:val="000000"/>
                <w:sz w:val="22"/>
                <w:szCs w:val="22"/>
              </w:rPr>
              <w:t> </w:t>
            </w:r>
            <w:r>
              <w:rPr>
                <w:rFonts w:ascii="Arial" w:eastAsia="DejaVu Sans" w:hAnsi="DejaVu Sans" w:cs="DejaVu Sans"/>
                <w:color w:val="000000"/>
                <w:sz w:val="22"/>
                <w:szCs w:val="22"/>
              </w:rPr>
              <w:t>73.2%)</w:t>
            </w:r>
          </w:p>
        </w:tc>
      </w:tr>
      <w:tr w:rsidR="00BC28CE" w14:paraId="1D36A0C5"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B4C0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3A85E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 never treat it before drinking</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2ED9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409</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66C8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65.5%</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52951E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(56.9%,</w:t>
            </w:r>
            <w:r>
              <w:rPr>
                <w:rFonts w:ascii="Arial" w:eastAsia="DejaVu Sans" w:hAnsi="DejaVu Sans" w:cs="DejaVu Sans"/>
                <w:color w:val="000000"/>
                <w:sz w:val="22"/>
                <w:szCs w:val="22"/>
              </w:rPr>
              <w:t> </w:t>
            </w:r>
            <w:r>
              <w:rPr>
                <w:rFonts w:ascii="Arial" w:eastAsia="DejaVu Sans" w:hAnsi="DejaVu Sans" w:cs="DejaVu Sans"/>
                <w:color w:val="000000"/>
                <w:sz w:val="22"/>
                <w:szCs w:val="22"/>
              </w:rPr>
              <w:t>73.2%)</w:t>
            </w:r>
          </w:p>
        </w:tc>
      </w:tr>
      <w:tr w:rsidR="00BC28CE" w14:paraId="54B31D28"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3C267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Other</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403D3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1E796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C8A67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02A53602"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727A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8</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CB80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Don't know</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FEE1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0F8D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9C1960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04DD575D"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17159C5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331B25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624</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3385E7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330C95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3A6D40BC" w14:textId="0015DCC3" w:rsidR="00BC28CE" w:rsidRDefault="00000000" w:rsidP="00C24D73">
      <w:pPr>
        <w:jc w:val="both"/>
      </w:pPr>
      <w:r>
        <w:br/>
      </w:r>
      <w:r w:rsidR="00C24D73" w:rsidRPr="00C24D73">
        <w:t xml:space="preserve">Household water treatment plays a crucial role in ensuring the safety and quality of drinking water, particularly in areas where access to treated water sources is limited. In the surveyed households, the prevalence of household water treatment increased significantly from 17.3% in 2023 to 31.9% in 2024. Among those households that reported treating their water, the most common method was the use of disinfection products, with 56.4% of households opting for this method. Aquatabs or water purification tablets were the most frequently used disinfection products, accounting for 41.2% of households. Boiling water was another prevalent method, with 35.3% of households choosing this option. This increase in household water treatment can be attributed to intensified hygiene promotion efforts and the distribution of water treatment chemicals at the community level. Despite this positive trend, a considerable proportion of households, 65.5%, reported never treating their water before drinking, highlighting the ongoing need for education and awareness campaigns to promote safe water practices and reduce the risk of waterborne </w:t>
      </w:r>
      <w:r w:rsidR="00C24D73" w:rsidRPr="00C24D73">
        <w:t>diseases.</w:t>
      </w:r>
    </w:p>
    <w:p w14:paraId="0C593DBF"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54" w:name="_Toc161945742"/>
      <w:r>
        <w:rPr>
          <w:b/>
        </w:rPr>
        <w:t xml:space="preserve">Table </w:t>
      </w:r>
      <w:bookmarkStart w:id="155" w:name="prop-treatuse"/>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33</w:t>
      </w:r>
      <w:r>
        <w:rPr>
          <w:b/>
        </w:rPr>
        <w:fldChar w:fldCharType="end"/>
      </w:r>
      <w:bookmarkEnd w:id="155"/>
      <w:r>
        <w:rPr>
          <w:b/>
        </w:rPr>
        <w:t xml:space="preserve">: </w:t>
      </w:r>
      <w:r>
        <w:t>Household Water Treatment Use</w:t>
      </w:r>
      <w:bookmarkEnd w:id="154"/>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64A2405D"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6A28CDF"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503219A"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42CDB9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7F06CF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D9051E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69A08BB0"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F8C13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Let it stand and settle</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BE3DF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FF1E6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3.4%</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E2557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(1.0%,</w:t>
            </w:r>
            <w:r>
              <w:rPr>
                <w:rFonts w:ascii="Arial" w:eastAsia="DejaVu Sans" w:hAnsi="DejaVu Sans" w:cs="DejaVu Sans"/>
                <w:color w:val="000000"/>
                <w:sz w:val="22"/>
                <w:szCs w:val="22"/>
              </w:rPr>
              <w:t> </w:t>
            </w:r>
            <w:r>
              <w:rPr>
                <w:rFonts w:ascii="Arial" w:eastAsia="DejaVu Sans" w:hAnsi="DejaVu Sans" w:cs="DejaVu Sans"/>
                <w:color w:val="000000"/>
                <w:sz w:val="22"/>
                <w:szCs w:val="22"/>
              </w:rPr>
              <w:t>10.9%)</w:t>
            </w:r>
          </w:p>
        </w:tc>
      </w:tr>
      <w:tr w:rsidR="00BC28CE" w14:paraId="0C46383A" w14:textId="77777777">
        <w:trPr>
          <w:jc w:val="center"/>
        </w:trPr>
        <w:tc>
          <w:tcPr>
            <w:tcW w:w="5040" w:type="dxa"/>
            <w:gridSpan w:val="2"/>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F1BDF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Boil it</w:t>
            </w:r>
          </w:p>
        </w:tc>
        <w:tc>
          <w:tcPr>
            <w:tcW w:w="1080"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B6BD8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72</w:t>
            </w:r>
          </w:p>
        </w:tc>
        <w:tc>
          <w:tcPr>
            <w:tcW w:w="1224"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356E0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35.3%</w:t>
            </w:r>
          </w:p>
        </w:tc>
        <w:tc>
          <w:tcPr>
            <w:tcW w:w="2016"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70029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(22.9%,</w:t>
            </w:r>
            <w:r>
              <w:rPr>
                <w:rFonts w:ascii="Arial" w:eastAsia="DejaVu Sans" w:hAnsi="DejaVu Sans" w:cs="DejaVu Sans"/>
                <w:color w:val="000000"/>
                <w:sz w:val="22"/>
                <w:szCs w:val="22"/>
              </w:rPr>
              <w:t> </w:t>
            </w:r>
            <w:r>
              <w:rPr>
                <w:rFonts w:ascii="Arial" w:eastAsia="DejaVu Sans" w:hAnsi="DejaVu Sans" w:cs="DejaVu Sans"/>
                <w:color w:val="000000"/>
                <w:sz w:val="22"/>
                <w:szCs w:val="22"/>
              </w:rPr>
              <w:t>50.1%)</w:t>
            </w:r>
          </w:p>
        </w:tc>
      </w:tr>
      <w:tr w:rsidR="00BC28CE" w14:paraId="11E21F49" w14:textId="77777777">
        <w:trPr>
          <w:jc w:val="center"/>
        </w:trPr>
        <w:tc>
          <w:tcPr>
            <w:tcW w:w="5040" w:type="dxa"/>
            <w:gridSpan w:val="2"/>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CE7B9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Expose it to sunlight</w:t>
            </w:r>
          </w:p>
        </w:tc>
        <w:tc>
          <w:tcPr>
            <w:tcW w:w="1080"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0B7BE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w:t>
            </w:r>
          </w:p>
        </w:tc>
        <w:tc>
          <w:tcPr>
            <w:tcW w:w="1224"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40E55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0.5%</w:t>
            </w:r>
          </w:p>
        </w:tc>
        <w:tc>
          <w:tcPr>
            <w:tcW w:w="2016"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4FE11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(0.1%,</w:t>
            </w:r>
            <w:r>
              <w:rPr>
                <w:rFonts w:ascii="Arial" w:eastAsia="DejaVu Sans" w:hAnsi="DejaVu Sans" w:cs="DejaVu Sans"/>
                <w:color w:val="000000"/>
                <w:sz w:val="22"/>
                <w:szCs w:val="22"/>
              </w:rPr>
              <w:t> </w:t>
            </w:r>
            <w:r>
              <w:rPr>
                <w:rFonts w:ascii="Arial" w:eastAsia="DejaVu Sans" w:hAnsi="DejaVu Sans" w:cs="DejaVu Sans"/>
                <w:color w:val="000000"/>
                <w:sz w:val="22"/>
                <w:szCs w:val="22"/>
              </w:rPr>
              <w:t>3.8%)</w:t>
            </w:r>
          </w:p>
        </w:tc>
      </w:tr>
      <w:tr w:rsidR="00BC28CE" w14:paraId="6FA94090" w14:textId="77777777">
        <w:trPr>
          <w:jc w:val="center"/>
        </w:trPr>
        <w:tc>
          <w:tcPr>
            <w:tcW w:w="5040" w:type="dxa"/>
            <w:gridSpan w:val="2"/>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AD6E0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Use disinfection products</w:t>
            </w:r>
          </w:p>
        </w:tc>
        <w:tc>
          <w:tcPr>
            <w:tcW w:w="1080"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05D42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115</w:t>
            </w:r>
          </w:p>
        </w:tc>
        <w:tc>
          <w:tcPr>
            <w:tcW w:w="1224"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4C6B6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56.4%</w:t>
            </w:r>
          </w:p>
        </w:tc>
        <w:tc>
          <w:tcPr>
            <w:tcW w:w="2016"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64AD3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(40.2%,</w:t>
            </w:r>
            <w:r>
              <w:rPr>
                <w:rFonts w:ascii="Arial" w:eastAsia="DejaVu Sans" w:hAnsi="DejaVu Sans" w:cs="DejaVu Sans"/>
                <w:color w:val="000000"/>
                <w:sz w:val="22"/>
                <w:szCs w:val="22"/>
              </w:rPr>
              <w:t> </w:t>
            </w:r>
            <w:r>
              <w:rPr>
                <w:rFonts w:ascii="Arial" w:eastAsia="DejaVu Sans" w:hAnsi="DejaVu Sans" w:cs="DejaVu Sans"/>
                <w:color w:val="000000"/>
                <w:sz w:val="22"/>
                <w:szCs w:val="22"/>
              </w:rPr>
              <w:t>71.3%)</w:t>
            </w:r>
          </w:p>
        </w:tc>
      </w:tr>
      <w:tr w:rsidR="00BC28CE" w14:paraId="256D9860"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1EC4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6FF8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Aquatabs/water purification tablets</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AADF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84</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47217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41.2%</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DC8F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(26.7%,</w:t>
            </w:r>
            <w:r>
              <w:rPr>
                <w:rFonts w:ascii="Arial" w:eastAsia="DejaVu Sans" w:hAnsi="DejaVu Sans" w:cs="DejaVu Sans"/>
                <w:color w:val="000000"/>
                <w:sz w:val="22"/>
                <w:szCs w:val="22"/>
              </w:rPr>
              <w:t> </w:t>
            </w:r>
            <w:r>
              <w:rPr>
                <w:rFonts w:ascii="Arial" w:eastAsia="DejaVu Sans" w:hAnsi="DejaVu Sans" w:cs="DejaVu Sans"/>
                <w:color w:val="000000"/>
                <w:sz w:val="22"/>
                <w:szCs w:val="22"/>
              </w:rPr>
              <w:t>57.3%)</w:t>
            </w:r>
          </w:p>
        </w:tc>
      </w:tr>
      <w:tr w:rsidR="00BC28CE" w14:paraId="061D0B53"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7B6B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D212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Liquid chlorine</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315974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E5A31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3179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(0.4%,</w:t>
            </w:r>
            <w:r>
              <w:rPr>
                <w:rFonts w:ascii="Arial" w:eastAsia="DejaVu Sans" w:hAnsi="DejaVu Sans" w:cs="DejaVu Sans"/>
                <w:color w:val="000000"/>
                <w:sz w:val="22"/>
                <w:szCs w:val="22"/>
              </w:rPr>
              <w:t> </w:t>
            </w:r>
            <w:r>
              <w:rPr>
                <w:rFonts w:ascii="Arial" w:eastAsia="DejaVu Sans" w:hAnsi="DejaVu Sans" w:cs="DejaVu Sans"/>
                <w:color w:val="000000"/>
                <w:sz w:val="22"/>
                <w:szCs w:val="22"/>
              </w:rPr>
              <w:t>9.1%)</w:t>
            </w:r>
          </w:p>
        </w:tc>
      </w:tr>
      <w:tr w:rsidR="00BC28CE" w14:paraId="49673481"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48225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59CC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Powder or granular chlorine</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0DF2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B256FE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43FD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32E03282"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5619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4</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1269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2"/>
                <w:szCs w:val="22"/>
              </w:rPr>
              <w:t>PuR</w:t>
            </w:r>
            <w:proofErr w:type="spellEnd"/>
            <w:r>
              <w:rPr>
                <w:rFonts w:ascii="Arial" w:eastAsia="DejaVu Sans" w:hAnsi="DejaVu Sans" w:cs="DejaVu Sans"/>
                <w:color w:val="000000"/>
                <w:sz w:val="22"/>
                <w:szCs w:val="22"/>
              </w:rPr>
              <w:t xml:space="preserve"> or </w:t>
            </w:r>
            <w:proofErr w:type="spellStart"/>
            <w:r>
              <w:rPr>
                <w:rFonts w:ascii="Arial" w:eastAsia="DejaVu Sans" w:hAnsi="DejaVu Sans" w:cs="DejaVu Sans"/>
                <w:color w:val="000000"/>
                <w:sz w:val="22"/>
                <w:szCs w:val="22"/>
              </w:rPr>
              <w:t>Watermaker</w:t>
            </w:r>
            <w:proofErr w:type="spellEnd"/>
            <w:r>
              <w:rPr>
                <w:rFonts w:ascii="Arial" w:eastAsia="DejaVu Sans" w:hAnsi="DejaVu Sans" w:cs="DejaVu Sans"/>
                <w:color w:val="000000"/>
                <w:sz w:val="22"/>
                <w:szCs w:val="22"/>
              </w:rPr>
              <w:t xml:space="preserve"> sachets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721C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27</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C37A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13.2%</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4930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(5.1%,</w:t>
            </w:r>
            <w:r>
              <w:rPr>
                <w:rFonts w:ascii="Arial" w:eastAsia="DejaVu Sans" w:hAnsi="DejaVu Sans" w:cs="DejaVu Sans"/>
                <w:color w:val="000000"/>
                <w:sz w:val="22"/>
                <w:szCs w:val="22"/>
              </w:rPr>
              <w:t> </w:t>
            </w:r>
            <w:r>
              <w:rPr>
                <w:rFonts w:ascii="Arial" w:eastAsia="DejaVu Sans" w:hAnsi="DejaVu Sans" w:cs="DejaVu Sans"/>
                <w:color w:val="000000"/>
                <w:sz w:val="22"/>
                <w:szCs w:val="22"/>
              </w:rPr>
              <w:t>30.0%)</w:t>
            </w:r>
          </w:p>
        </w:tc>
      </w:tr>
      <w:tr w:rsidR="00BC28CE" w14:paraId="7C3A423E"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FE80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6</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8B7E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Other disinfection products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8B7C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3302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E7587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0C3C6C1D"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20C43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lastRenderedPageBreak/>
              <w:t>Filter it</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B81A7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80942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652A97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5F979390"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50C50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6F9E8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2"/>
                <w:szCs w:val="22"/>
              </w:rPr>
              <w:t>Biosand</w:t>
            </w:r>
            <w:proofErr w:type="spellEnd"/>
            <w:r>
              <w:rPr>
                <w:rFonts w:ascii="Arial" w:eastAsia="DejaVu Sans" w:hAnsi="DejaVu Sans" w:cs="DejaVu Sans"/>
                <w:color w:val="000000"/>
                <w:sz w:val="22"/>
                <w:szCs w:val="22"/>
              </w:rPr>
              <w:t xml:space="preserve"> Filter</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921CE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F071F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50D8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057875D8"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504F1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ADBA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Ceramic Pot Filter</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8C8A4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52F9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462E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5C6267CD"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4D83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DB25A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Candle Filter/Bucket Filter</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4B23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A98F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FF3A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5AB8FF32"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34F91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6</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45BE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Other filter system</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3BC56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B5B22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0.0%</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25610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w:t>
            </w:r>
            <w:r>
              <w:rPr>
                <w:rFonts w:ascii="Arial" w:eastAsia="DejaVu Sans" w:hAnsi="DejaVu Sans" w:cs="DejaVu Sans"/>
                <w:color w:val="000000"/>
                <w:sz w:val="22"/>
                <w:szCs w:val="22"/>
              </w:rPr>
              <w:t> </w:t>
            </w:r>
            <w:r>
              <w:rPr>
                <w:rFonts w:ascii="Arial" w:eastAsia="DejaVu Sans" w:hAnsi="DejaVu Sans" w:cs="DejaVu Sans"/>
                <w:color w:val="000000"/>
                <w:sz w:val="22"/>
                <w:szCs w:val="22"/>
              </w:rPr>
              <w:t>0%)</w:t>
            </w:r>
          </w:p>
        </w:tc>
      </w:tr>
      <w:tr w:rsidR="00BC28CE" w14:paraId="4426554E"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6230C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Other</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9A7A8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FFD91F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3.9%</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DD58A4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(0.8%,</w:t>
            </w:r>
            <w:r>
              <w:rPr>
                <w:rFonts w:ascii="Arial" w:eastAsia="DejaVu Sans" w:hAnsi="DejaVu Sans" w:cs="DejaVu Sans"/>
                <w:color w:val="000000"/>
                <w:sz w:val="22"/>
                <w:szCs w:val="22"/>
              </w:rPr>
              <w:t> </w:t>
            </w:r>
            <w:r>
              <w:rPr>
                <w:rFonts w:ascii="Arial" w:eastAsia="DejaVu Sans" w:hAnsi="DejaVu Sans" w:cs="DejaVu Sans"/>
                <w:color w:val="000000"/>
                <w:sz w:val="22"/>
                <w:szCs w:val="22"/>
              </w:rPr>
              <w:t>17.0%)</w:t>
            </w:r>
          </w:p>
        </w:tc>
      </w:tr>
      <w:tr w:rsidR="00BC28CE" w14:paraId="683172CA" w14:textId="77777777">
        <w:trPr>
          <w:jc w:val="center"/>
        </w:trPr>
        <w:tc>
          <w:tcPr>
            <w:tcW w:w="5040" w:type="dxa"/>
            <w:gridSpan w:val="2"/>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DA35B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Don't know</w:t>
            </w:r>
          </w:p>
        </w:tc>
        <w:tc>
          <w:tcPr>
            <w:tcW w:w="1080"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F0629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w:t>
            </w:r>
          </w:p>
        </w:tc>
        <w:tc>
          <w:tcPr>
            <w:tcW w:w="1224"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A7420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0.5%</w:t>
            </w:r>
          </w:p>
        </w:tc>
        <w:tc>
          <w:tcPr>
            <w:tcW w:w="2016" w:type="dxa"/>
            <w:tcBorders>
              <w:top w:val="single" w:sz="8"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41441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(0.1%,</w:t>
            </w:r>
            <w:r>
              <w:rPr>
                <w:rFonts w:ascii="Arial" w:eastAsia="DejaVu Sans" w:hAnsi="DejaVu Sans" w:cs="DejaVu Sans"/>
                <w:color w:val="000000"/>
                <w:sz w:val="22"/>
                <w:szCs w:val="22"/>
              </w:rPr>
              <w:t> </w:t>
            </w:r>
            <w:r>
              <w:rPr>
                <w:rFonts w:ascii="Arial" w:eastAsia="DejaVu Sans" w:hAnsi="DejaVu Sans" w:cs="DejaVu Sans"/>
                <w:color w:val="000000"/>
                <w:sz w:val="22"/>
                <w:szCs w:val="22"/>
              </w:rPr>
              <w:t>3.5%)</w:t>
            </w:r>
          </w:p>
        </w:tc>
      </w:tr>
      <w:tr w:rsidR="00BC28CE" w14:paraId="2938A431" w14:textId="77777777">
        <w:trPr>
          <w:jc w:val="center"/>
        </w:trPr>
        <w:tc>
          <w:tcPr>
            <w:tcW w:w="5040" w:type="dxa"/>
            <w:gridSpan w:val="2"/>
            <w:tcBorders>
              <w:top w:val="single" w:sz="8"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C0DA5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single" w:sz="8"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2A02F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204</w:t>
            </w:r>
          </w:p>
        </w:tc>
        <w:tc>
          <w:tcPr>
            <w:tcW w:w="1224" w:type="dxa"/>
            <w:tcBorders>
              <w:top w:val="single" w:sz="8"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165D61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single" w:sz="8"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17801F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7CFFB108" w14:textId="61C2D9F6" w:rsidR="00BC28CE" w:rsidRDefault="00BC28CE"/>
    <w:p w14:paraId="783779D0" w14:textId="77777777" w:rsidR="00BC28CE" w:rsidRDefault="00000000">
      <w:pPr>
        <w:pStyle w:val="Heading5"/>
      </w:pPr>
      <w:bookmarkStart w:id="156" w:name="access-to-improved-sanitation-facilities"/>
      <w:bookmarkEnd w:id="147"/>
      <w:r>
        <w:t>Access to improved sanitation facilities</w:t>
      </w:r>
    </w:p>
    <w:p w14:paraId="650058B3" w14:textId="07B4A972" w:rsidR="00C24D73" w:rsidRPr="00C24D73" w:rsidRDefault="00FD1DF5" w:rsidP="00FD1DF5">
      <w:pPr>
        <w:jc w:val="both"/>
      </w:pPr>
      <w:r w:rsidRPr="00FD1DF5">
        <w:t xml:space="preserve">Access to improved sanitation facilities is a fundamental aspect of public health, ensuring the safe disposal of human waste and reducing the risk of waterborne diseases. In the surveyed households, 53.8% reported having access to improved sanitation facilities, indicating progress in sanitation infrastructure compared to previous years. Among these facilities, the most common were improved excreta disposal facilities, accounting for 20.7% of households, followed by communal toilets, utilized by 26.6% of households. However, despite these improvements, a significant proportion of households, 44.1%, still relied on unimproved sanitation facilities, such as </w:t>
      </w:r>
      <w:r>
        <w:t>open holes, bush, or pit latrines without slabs</w:t>
      </w:r>
      <w:r w:rsidRPr="00FD1DF5">
        <w:t>. This underscores the ongoing challenges in achieving universal access to adequate sanitation. Furthermore, the prevalence of open defecation increased from 24.4% in 2023 to 36.9% in 2024, attributed primarily to the destruction of sanitation facilities and the displacement of households due to floods caused by enhanced short rains. This highlights the need for concerted efforts to rebuild and improve sanitation infrastructure, particularly in areas prone to natural disasters, to ensure the health and well-being of communities.</w:t>
      </w:r>
    </w:p>
    <w:p w14:paraId="03490EC9"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57" w:name="_Toc161945743"/>
      <w:r>
        <w:rPr>
          <w:b/>
        </w:rPr>
        <w:t xml:space="preserve">Table </w:t>
      </w:r>
      <w:bookmarkStart w:id="158" w:name="prop_toilet"/>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34</w:t>
      </w:r>
      <w:r>
        <w:rPr>
          <w:b/>
        </w:rPr>
        <w:fldChar w:fldCharType="end"/>
      </w:r>
      <w:bookmarkEnd w:id="158"/>
      <w:r>
        <w:rPr>
          <w:b/>
        </w:rPr>
        <w:t xml:space="preserve">: </w:t>
      </w:r>
      <w:r>
        <w:t>Safe Excreta Disposal (Adapt list to sanitation facilities available in the local setting)</w:t>
      </w:r>
      <w:bookmarkEnd w:id="157"/>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77E0C778"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4C8EFFD"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bookmarkStart w:id="159" w:name="_Hlk162209411"/>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BAB94E1"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07B4FA9"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5ABCAA7"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A8A54B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03998C7A"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551426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Improved</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96C39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336</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7E357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53.8%</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7A081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(43.2%,</w:t>
            </w:r>
            <w:r>
              <w:rPr>
                <w:rFonts w:ascii="Arial" w:eastAsia="DejaVu Sans" w:hAnsi="DejaVu Sans" w:cs="DejaVu Sans"/>
                <w:color w:val="000000"/>
                <w:sz w:val="22"/>
                <w:szCs w:val="22"/>
              </w:rPr>
              <w:t> </w:t>
            </w:r>
            <w:r>
              <w:rPr>
                <w:rFonts w:ascii="Arial" w:eastAsia="DejaVu Sans" w:hAnsi="DejaVu Sans" w:cs="DejaVu Sans"/>
                <w:color w:val="000000"/>
                <w:sz w:val="22"/>
                <w:szCs w:val="22"/>
              </w:rPr>
              <w:t>64.2%)</w:t>
            </w:r>
          </w:p>
        </w:tc>
      </w:tr>
      <w:tr w:rsidR="00BC28CE" w14:paraId="05777526"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AEE4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7C69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An improved excreta disposal facility</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D715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129</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6774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20.7%</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F2E6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(14.9%,</w:t>
            </w:r>
            <w:r>
              <w:rPr>
                <w:rFonts w:ascii="Arial" w:eastAsia="DejaVu Sans" w:hAnsi="DejaVu Sans" w:cs="DejaVu Sans"/>
                <w:color w:val="000000"/>
                <w:sz w:val="22"/>
                <w:szCs w:val="22"/>
              </w:rPr>
              <w:t> </w:t>
            </w:r>
            <w:r>
              <w:rPr>
                <w:rFonts w:ascii="Arial" w:eastAsia="DejaVu Sans" w:hAnsi="DejaVu Sans" w:cs="DejaVu Sans"/>
                <w:color w:val="000000"/>
                <w:sz w:val="22"/>
                <w:szCs w:val="22"/>
              </w:rPr>
              <w:t>28.0%)</w:t>
            </w:r>
          </w:p>
        </w:tc>
      </w:tr>
      <w:tr w:rsidR="00BC28CE" w14:paraId="5CCD2F06"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D5F51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2950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 shared family toilet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F769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41</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A103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6.6%</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05BA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(3.8%,</w:t>
            </w:r>
            <w:r>
              <w:rPr>
                <w:rFonts w:ascii="Arial" w:eastAsia="DejaVu Sans" w:hAnsi="DejaVu Sans" w:cs="DejaVu Sans"/>
                <w:color w:val="000000"/>
                <w:sz w:val="22"/>
                <w:szCs w:val="22"/>
              </w:rPr>
              <w:t> </w:t>
            </w:r>
            <w:r>
              <w:rPr>
                <w:rFonts w:ascii="Arial" w:eastAsia="DejaVu Sans" w:hAnsi="DejaVu Sans" w:cs="DejaVu Sans"/>
                <w:color w:val="000000"/>
                <w:sz w:val="22"/>
                <w:szCs w:val="22"/>
              </w:rPr>
              <w:t>11.2%)</w:t>
            </w:r>
          </w:p>
        </w:tc>
      </w:tr>
      <w:tr w:rsidR="00BC28CE" w14:paraId="33E33E60"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91F4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4CDF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 communal toilet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2556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166</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B776C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26.6%</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7B9A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(19.8%,</w:t>
            </w:r>
            <w:r>
              <w:rPr>
                <w:rFonts w:ascii="Arial" w:eastAsia="DejaVu Sans" w:hAnsi="DejaVu Sans" w:cs="DejaVu Sans"/>
                <w:color w:val="000000"/>
                <w:sz w:val="22"/>
                <w:szCs w:val="22"/>
              </w:rPr>
              <w:t> </w:t>
            </w:r>
            <w:r>
              <w:rPr>
                <w:rFonts w:ascii="Arial" w:eastAsia="DejaVu Sans" w:hAnsi="DejaVu Sans" w:cs="DejaVu Sans"/>
                <w:color w:val="000000"/>
                <w:sz w:val="22"/>
                <w:szCs w:val="22"/>
              </w:rPr>
              <w:t>34.8%)</w:t>
            </w:r>
          </w:p>
        </w:tc>
      </w:tr>
      <w:tr w:rsidR="00BC28CE" w14:paraId="1F2CEA99"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FDCB7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Unimproved</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185EA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275</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9918F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44.1%</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03793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(33.6%,</w:t>
            </w:r>
            <w:r>
              <w:rPr>
                <w:rFonts w:ascii="Arial" w:eastAsia="DejaVu Sans" w:hAnsi="DejaVu Sans" w:cs="DejaVu Sans"/>
                <w:color w:val="000000"/>
                <w:sz w:val="22"/>
                <w:szCs w:val="22"/>
              </w:rPr>
              <w:t> </w:t>
            </w:r>
            <w:r>
              <w:rPr>
                <w:rFonts w:ascii="Arial" w:eastAsia="DejaVu Sans" w:hAnsi="DejaVu Sans" w:cs="DejaVu Sans"/>
                <w:color w:val="000000"/>
                <w:sz w:val="22"/>
                <w:szCs w:val="22"/>
              </w:rPr>
              <w:t>55.0%)</w:t>
            </w:r>
          </w:p>
        </w:tc>
      </w:tr>
      <w:tr w:rsidR="00BC28CE" w14:paraId="43A862B5"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30B7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4</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EEA5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An unimproved toilet</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4E81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275</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C519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44.1%</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68CD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(33.6%,</w:t>
            </w:r>
            <w:r>
              <w:rPr>
                <w:rFonts w:ascii="Arial" w:eastAsia="DejaVu Sans" w:hAnsi="DejaVu Sans" w:cs="DejaVu Sans"/>
                <w:color w:val="000000"/>
                <w:sz w:val="22"/>
                <w:szCs w:val="22"/>
              </w:rPr>
              <w:t> </w:t>
            </w:r>
            <w:r>
              <w:rPr>
                <w:rFonts w:ascii="Arial" w:eastAsia="DejaVu Sans" w:hAnsi="DejaVu Sans" w:cs="DejaVu Sans"/>
                <w:color w:val="000000"/>
                <w:sz w:val="22"/>
                <w:szCs w:val="22"/>
              </w:rPr>
              <w:t>55.0%)</w:t>
            </w:r>
          </w:p>
        </w:tc>
      </w:tr>
      <w:tr w:rsidR="00BC28CE" w14:paraId="3B16438F"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DDF9E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lastRenderedPageBreak/>
              <w:t>Other</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6C90D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A13CD9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2.1%</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4C2AA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(0.7%,</w:t>
            </w:r>
            <w:r>
              <w:rPr>
                <w:rFonts w:ascii="Arial" w:eastAsia="DejaVu Sans" w:hAnsi="DejaVu Sans" w:cs="DejaVu Sans"/>
                <w:color w:val="000000"/>
                <w:sz w:val="22"/>
                <w:szCs w:val="22"/>
              </w:rPr>
              <w:t> </w:t>
            </w:r>
            <w:r>
              <w:rPr>
                <w:rFonts w:ascii="Arial" w:eastAsia="DejaVu Sans" w:hAnsi="DejaVu Sans" w:cs="DejaVu Sans"/>
                <w:color w:val="000000"/>
                <w:sz w:val="22"/>
                <w:szCs w:val="22"/>
              </w:rPr>
              <w:t>6.0%)</w:t>
            </w:r>
          </w:p>
        </w:tc>
      </w:tr>
      <w:tr w:rsidR="00BC28CE" w14:paraId="165ED410"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2A98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98</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2348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Don't know</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D94C8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EB34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2.1%</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3ADD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(0.7%,</w:t>
            </w:r>
            <w:r>
              <w:rPr>
                <w:rFonts w:ascii="Arial" w:eastAsia="DejaVu Sans" w:hAnsi="DejaVu Sans" w:cs="DejaVu Sans"/>
                <w:color w:val="000000"/>
                <w:sz w:val="22"/>
                <w:szCs w:val="22"/>
              </w:rPr>
              <w:t> </w:t>
            </w:r>
            <w:r>
              <w:rPr>
                <w:rFonts w:ascii="Arial" w:eastAsia="DejaVu Sans" w:hAnsi="DejaVu Sans" w:cs="DejaVu Sans"/>
                <w:color w:val="000000"/>
                <w:sz w:val="22"/>
                <w:szCs w:val="22"/>
              </w:rPr>
              <w:t>6.0%)</w:t>
            </w:r>
          </w:p>
        </w:tc>
      </w:tr>
      <w:tr w:rsidR="00BC28CE" w14:paraId="458B2308"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EFA1C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6C2B729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624</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59D7DED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98D1C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bookmarkEnd w:id="159"/>
    <w:p w14:paraId="05CBBD28" w14:textId="09F8CA47" w:rsidR="00BC28CE" w:rsidRDefault="00FD1DF5" w:rsidP="002038E6">
      <w:r w:rsidRPr="00FD1DF5">
        <w:t xml:space="preserve">Access to specific handwashing devices is a critical component of promoting proper hygiene practices, particularly in preventing the transmission of infectious diseases. In the surveyed households, 6.1% reported having access to a specific handwashing device. Among these households, the majority, comprising 79.5%, had a handwashing device containing water, while 56.4% had a device containing soap. Encouragingly, an equal proportion of households, also 56.4%, had a handwashing device equipped with both water and soap, indicating readiness for effective hand hygiene </w:t>
      </w:r>
      <w:r w:rsidR="002038E6" w:rsidRPr="00FD1DF5">
        <w:t>practices.</w:t>
      </w:r>
      <w:r w:rsidR="00000000">
        <w:br/>
      </w:r>
    </w:p>
    <w:p w14:paraId="74245370"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60" w:name="_Toc161945744"/>
      <w:r>
        <w:rPr>
          <w:b/>
        </w:rPr>
        <w:t xml:space="preserve">Table </w:t>
      </w:r>
      <w:bookmarkStart w:id="161" w:name="prop_handwashing"/>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35</w:t>
      </w:r>
      <w:r>
        <w:rPr>
          <w:b/>
        </w:rPr>
        <w:fldChar w:fldCharType="end"/>
      </w:r>
      <w:bookmarkEnd w:id="161"/>
      <w:r>
        <w:rPr>
          <w:b/>
        </w:rPr>
        <w:t xml:space="preserve">: </w:t>
      </w:r>
      <w:r>
        <w:t>Access to a Specific Handwashing Device</w:t>
      </w:r>
      <w:bookmarkEnd w:id="160"/>
    </w:p>
    <w:tbl>
      <w:tblPr>
        <w:tblW w:w="5000" w:type="pct"/>
        <w:jc w:val="center"/>
        <w:tblLook w:val="0420" w:firstRow="1" w:lastRow="0" w:firstColumn="0" w:lastColumn="0" w:noHBand="0" w:noVBand="1"/>
      </w:tblPr>
      <w:tblGrid>
        <w:gridCol w:w="5844"/>
        <w:gridCol w:w="618"/>
        <w:gridCol w:w="1205"/>
        <w:gridCol w:w="1693"/>
      </w:tblGrid>
      <w:tr w:rsidR="00BC28CE" w14:paraId="66299882" w14:textId="77777777" w:rsidTr="002038E6">
        <w:trPr>
          <w:tblHeader/>
          <w:jc w:val="center"/>
        </w:trPr>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0A1DA76"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C46B490"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F89CE0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4B1DAF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277BFB93" w14:textId="77777777" w:rsidTr="002038E6">
        <w:trPr>
          <w:jc w:val="center"/>
        </w:trPr>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CC93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Proportion of households with access to a specific handwashing device</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3E0B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38</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25E9B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6.1%</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26E95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(3.6%,</w:t>
            </w:r>
            <w:r>
              <w:rPr>
                <w:rFonts w:ascii="Arial" w:eastAsia="DejaVu Sans" w:hAnsi="DejaVu Sans" w:cs="DejaVu Sans"/>
                <w:color w:val="000000"/>
                <w:sz w:val="22"/>
                <w:szCs w:val="22"/>
              </w:rPr>
              <w:t> </w:t>
            </w:r>
            <w:r>
              <w:rPr>
                <w:rFonts w:ascii="Arial" w:eastAsia="DejaVu Sans" w:hAnsi="DejaVu Sans" w:cs="DejaVu Sans"/>
                <w:color w:val="000000"/>
                <w:sz w:val="22"/>
                <w:szCs w:val="22"/>
              </w:rPr>
              <w:t>10.1%)</w:t>
            </w:r>
          </w:p>
        </w:tc>
      </w:tr>
      <w:tr w:rsidR="00BC28CE" w14:paraId="435B65E9" w14:textId="77777777" w:rsidTr="002038E6">
        <w:trPr>
          <w:jc w:val="center"/>
        </w:trPr>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6EFD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Proportion of households with a specific handwashing device containing water</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0EAB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E4BC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79.5%</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1A3B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(60.5%,</w:t>
            </w:r>
            <w:r>
              <w:rPr>
                <w:rFonts w:ascii="Arial" w:eastAsia="DejaVu Sans" w:hAnsi="DejaVu Sans" w:cs="DejaVu Sans"/>
                <w:color w:val="000000"/>
                <w:sz w:val="22"/>
                <w:szCs w:val="22"/>
              </w:rPr>
              <w:t> </w:t>
            </w:r>
            <w:r>
              <w:rPr>
                <w:rFonts w:ascii="Arial" w:eastAsia="DejaVu Sans" w:hAnsi="DejaVu Sans" w:cs="DejaVu Sans"/>
                <w:color w:val="000000"/>
                <w:sz w:val="22"/>
                <w:szCs w:val="22"/>
              </w:rPr>
              <w:t>90.7%)</w:t>
            </w:r>
          </w:p>
        </w:tc>
      </w:tr>
      <w:tr w:rsidR="00BC28CE" w14:paraId="1A5190BA" w14:textId="77777777" w:rsidTr="002038E6">
        <w:trPr>
          <w:jc w:val="center"/>
        </w:trPr>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617E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Proportion of households with a specific handwashing device containing soap</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382F7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819E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56.4%</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AF5B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(35.9%,</w:t>
            </w:r>
            <w:r>
              <w:rPr>
                <w:rFonts w:ascii="Arial" w:eastAsia="DejaVu Sans" w:hAnsi="DejaVu Sans" w:cs="DejaVu Sans"/>
                <w:color w:val="000000"/>
                <w:sz w:val="22"/>
                <w:szCs w:val="22"/>
              </w:rPr>
              <w:t> </w:t>
            </w:r>
            <w:r>
              <w:rPr>
                <w:rFonts w:ascii="Arial" w:eastAsia="DejaVu Sans" w:hAnsi="DejaVu Sans" w:cs="DejaVu Sans"/>
                <w:color w:val="000000"/>
                <w:sz w:val="22"/>
                <w:szCs w:val="22"/>
              </w:rPr>
              <w:t>74.9%)</w:t>
            </w:r>
          </w:p>
        </w:tc>
      </w:tr>
      <w:tr w:rsidR="00BC28CE" w14:paraId="53822641" w14:textId="77777777" w:rsidTr="002038E6">
        <w:trPr>
          <w:jc w:val="center"/>
        </w:trPr>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629E6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Proportion of households with a specific handwashing device containing water and soap</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06B0F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64C38E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56.4%</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53092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(35.9%,</w:t>
            </w:r>
            <w:r>
              <w:rPr>
                <w:rFonts w:ascii="Arial" w:eastAsia="DejaVu Sans" w:hAnsi="DejaVu Sans" w:cs="DejaVu Sans"/>
                <w:color w:val="000000"/>
                <w:sz w:val="22"/>
                <w:szCs w:val="22"/>
              </w:rPr>
              <w:t> </w:t>
            </w:r>
            <w:r>
              <w:rPr>
                <w:rFonts w:ascii="Arial" w:eastAsia="DejaVu Sans" w:hAnsi="DejaVu Sans" w:cs="DejaVu Sans"/>
                <w:color w:val="000000"/>
                <w:sz w:val="22"/>
                <w:szCs w:val="22"/>
              </w:rPr>
              <w:t>74.9%)</w:t>
            </w:r>
          </w:p>
        </w:tc>
      </w:tr>
    </w:tbl>
    <w:p w14:paraId="43026B5F" w14:textId="1BA4BA32" w:rsidR="00BC28CE" w:rsidRDefault="002038E6" w:rsidP="002038E6">
      <w:r w:rsidRPr="002038E6">
        <w:t>Regarding the types of handwashing devices, sinks with tap water were the most common, present in 50.0% of households with specific handwashing devices. Pouring devices and other types of handwashing devices were also reported, though less frequently. However, only a small proportion of households utilized buckets with taps, constituting 7.9%. These findings underscore the importance of promoting access to specific handwashing devices equipped with both water and soap, as well as the need to diversify handwashing device options to cater to different household preferences and contexts</w:t>
      </w:r>
      <w:r>
        <w:t>.</w:t>
      </w:r>
      <w:r w:rsidR="00000000">
        <w:br/>
      </w:r>
    </w:p>
    <w:p w14:paraId="4EDDFA9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62" w:name="_Toc161945745"/>
      <w:r>
        <w:rPr>
          <w:b/>
        </w:rPr>
        <w:t xml:space="preserve">Table </w:t>
      </w:r>
      <w:bookmarkStart w:id="163" w:name="prop_devices"/>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36</w:t>
      </w:r>
      <w:r>
        <w:rPr>
          <w:b/>
        </w:rPr>
        <w:fldChar w:fldCharType="end"/>
      </w:r>
      <w:bookmarkEnd w:id="163"/>
      <w:r>
        <w:rPr>
          <w:b/>
        </w:rPr>
        <w:t xml:space="preserve">: </w:t>
      </w:r>
      <w:r>
        <w:t>Handwashing devices</w:t>
      </w:r>
      <w:bookmarkEnd w:id="162"/>
    </w:p>
    <w:tbl>
      <w:tblPr>
        <w:tblW w:w="5000" w:type="pct"/>
        <w:jc w:val="center"/>
        <w:tblLook w:val="0420" w:firstRow="1" w:lastRow="0" w:firstColumn="0" w:lastColumn="0" w:noHBand="0" w:noVBand="1"/>
      </w:tblPr>
      <w:tblGrid>
        <w:gridCol w:w="3402"/>
        <w:gridCol w:w="1046"/>
        <w:gridCol w:w="2042"/>
        <w:gridCol w:w="2870"/>
      </w:tblGrid>
      <w:tr w:rsidR="00BC28CE" w14:paraId="4A287CC7" w14:textId="77777777" w:rsidTr="00FD1DF5">
        <w:trPr>
          <w:tblHeader/>
          <w:jc w:val="center"/>
        </w:trPr>
        <w:tc>
          <w:tcPr>
            <w:tcW w:w="1817"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4E38651"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559"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7A496E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091"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03D448E"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1533"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97BB700"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210E910E" w14:textId="77777777" w:rsidTr="00FD1DF5">
        <w:trPr>
          <w:jc w:val="center"/>
        </w:trPr>
        <w:tc>
          <w:tcPr>
            <w:tcW w:w="1817"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E47A8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Sink with tap water</w:t>
            </w:r>
          </w:p>
        </w:tc>
        <w:tc>
          <w:tcPr>
            <w:tcW w:w="559"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E255C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19</w:t>
            </w:r>
          </w:p>
        </w:tc>
        <w:tc>
          <w:tcPr>
            <w:tcW w:w="1091"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A56D7E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50.0%</w:t>
            </w:r>
          </w:p>
        </w:tc>
        <w:tc>
          <w:tcPr>
            <w:tcW w:w="1533"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A47A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(30.7%,</w:t>
            </w:r>
            <w:r>
              <w:rPr>
                <w:rFonts w:ascii="Arial" w:eastAsia="DejaVu Sans" w:hAnsi="DejaVu Sans" w:cs="DejaVu Sans"/>
                <w:color w:val="000000"/>
                <w:sz w:val="22"/>
                <w:szCs w:val="22"/>
              </w:rPr>
              <w:t> </w:t>
            </w:r>
            <w:r>
              <w:rPr>
                <w:rFonts w:ascii="Arial" w:eastAsia="DejaVu Sans" w:hAnsi="DejaVu Sans" w:cs="DejaVu Sans"/>
                <w:color w:val="000000"/>
                <w:sz w:val="22"/>
                <w:szCs w:val="22"/>
              </w:rPr>
              <w:t>69.3%)</w:t>
            </w:r>
          </w:p>
        </w:tc>
      </w:tr>
      <w:tr w:rsidR="00BC28CE" w14:paraId="395B3C73" w14:textId="77777777" w:rsidTr="00FD1DF5">
        <w:trPr>
          <w:jc w:val="center"/>
        </w:trPr>
        <w:tc>
          <w:tcPr>
            <w:tcW w:w="1817"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DF7D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Buckets with taps</w:t>
            </w:r>
          </w:p>
        </w:tc>
        <w:tc>
          <w:tcPr>
            <w:tcW w:w="55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DCD4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3</w:t>
            </w:r>
          </w:p>
        </w:tc>
        <w:tc>
          <w:tcPr>
            <w:tcW w:w="1091"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C7D1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7.9%</w:t>
            </w:r>
          </w:p>
        </w:tc>
        <w:tc>
          <w:tcPr>
            <w:tcW w:w="153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B365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(2.3%,</w:t>
            </w:r>
            <w:r>
              <w:rPr>
                <w:rFonts w:ascii="Arial" w:eastAsia="DejaVu Sans" w:hAnsi="DejaVu Sans" w:cs="DejaVu Sans"/>
                <w:color w:val="000000"/>
                <w:sz w:val="22"/>
                <w:szCs w:val="22"/>
              </w:rPr>
              <w:t> </w:t>
            </w:r>
            <w:r>
              <w:rPr>
                <w:rFonts w:ascii="Arial" w:eastAsia="DejaVu Sans" w:hAnsi="DejaVu Sans" w:cs="DejaVu Sans"/>
                <w:color w:val="000000"/>
                <w:sz w:val="22"/>
                <w:szCs w:val="22"/>
              </w:rPr>
              <w:t>24.1%)</w:t>
            </w:r>
          </w:p>
        </w:tc>
      </w:tr>
      <w:tr w:rsidR="00BC28CE" w14:paraId="1A6D63DD" w14:textId="77777777" w:rsidTr="00FD1DF5">
        <w:trPr>
          <w:jc w:val="center"/>
        </w:trPr>
        <w:tc>
          <w:tcPr>
            <w:tcW w:w="1817"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2AD68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Pouring device</w:t>
            </w:r>
          </w:p>
        </w:tc>
        <w:tc>
          <w:tcPr>
            <w:tcW w:w="559"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274CF3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w:t>
            </w:r>
          </w:p>
        </w:tc>
        <w:tc>
          <w:tcPr>
            <w:tcW w:w="1091"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3E20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34.2%</w:t>
            </w:r>
          </w:p>
        </w:tc>
        <w:tc>
          <w:tcPr>
            <w:tcW w:w="1533"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6875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(18.8%,</w:t>
            </w:r>
            <w:r>
              <w:rPr>
                <w:rFonts w:ascii="Arial" w:eastAsia="DejaVu Sans" w:hAnsi="DejaVu Sans" w:cs="DejaVu Sans"/>
                <w:color w:val="000000"/>
                <w:sz w:val="22"/>
                <w:szCs w:val="22"/>
              </w:rPr>
              <w:t> </w:t>
            </w:r>
            <w:r>
              <w:rPr>
                <w:rFonts w:ascii="Arial" w:eastAsia="DejaVu Sans" w:hAnsi="DejaVu Sans" w:cs="DejaVu Sans"/>
                <w:color w:val="000000"/>
                <w:sz w:val="22"/>
                <w:szCs w:val="22"/>
              </w:rPr>
              <w:t>53.9%)</w:t>
            </w:r>
          </w:p>
        </w:tc>
      </w:tr>
      <w:tr w:rsidR="00BC28CE" w14:paraId="24A1DC34" w14:textId="77777777" w:rsidTr="00FD1DF5">
        <w:trPr>
          <w:jc w:val="center"/>
        </w:trPr>
        <w:tc>
          <w:tcPr>
            <w:tcW w:w="1817"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719CCE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Other</w:t>
            </w:r>
          </w:p>
        </w:tc>
        <w:tc>
          <w:tcPr>
            <w:tcW w:w="559"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27AC08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3</w:t>
            </w:r>
          </w:p>
        </w:tc>
        <w:tc>
          <w:tcPr>
            <w:tcW w:w="1091"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0DD0FEA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7.9%</w:t>
            </w:r>
          </w:p>
        </w:tc>
        <w:tc>
          <w:tcPr>
            <w:tcW w:w="1533"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25C57E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(2.1%,</w:t>
            </w:r>
            <w:r>
              <w:rPr>
                <w:rFonts w:ascii="Arial" w:eastAsia="DejaVu Sans" w:hAnsi="DejaVu Sans" w:cs="DejaVu Sans"/>
                <w:color w:val="000000"/>
                <w:sz w:val="22"/>
                <w:szCs w:val="22"/>
              </w:rPr>
              <w:t> </w:t>
            </w:r>
            <w:r>
              <w:rPr>
                <w:rFonts w:ascii="Arial" w:eastAsia="DejaVu Sans" w:hAnsi="DejaVu Sans" w:cs="DejaVu Sans"/>
                <w:color w:val="000000"/>
                <w:sz w:val="22"/>
                <w:szCs w:val="22"/>
              </w:rPr>
              <w:t>25.4%)</w:t>
            </w:r>
          </w:p>
        </w:tc>
      </w:tr>
      <w:tr w:rsidR="00BC28CE" w14:paraId="5EF3BB4F" w14:textId="77777777" w:rsidTr="00FD1DF5">
        <w:trPr>
          <w:jc w:val="center"/>
        </w:trPr>
        <w:tc>
          <w:tcPr>
            <w:tcW w:w="1817"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08975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lastRenderedPageBreak/>
              <w:t>Total</w:t>
            </w:r>
          </w:p>
        </w:tc>
        <w:tc>
          <w:tcPr>
            <w:tcW w:w="559"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46EB6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38</w:t>
            </w:r>
          </w:p>
        </w:tc>
        <w:tc>
          <w:tcPr>
            <w:tcW w:w="1091"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65E18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1533"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2DD4D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4765B74A" w14:textId="57B6F3E1" w:rsidR="00BC28CE" w:rsidRDefault="00BC28CE"/>
    <w:p w14:paraId="243579CF" w14:textId="77777777" w:rsidR="00BC28CE" w:rsidRDefault="00000000">
      <w:pPr>
        <w:pStyle w:val="Heading5"/>
      </w:pPr>
      <w:bookmarkStart w:id="164" w:name="access-to-a-sufficient-quantity-of-water"/>
      <w:bookmarkEnd w:id="156"/>
      <w:r>
        <w:t xml:space="preserve">Access to </w:t>
      </w:r>
      <w:proofErr w:type="gramStart"/>
      <w:r>
        <w:t>a sufficient quantity of</w:t>
      </w:r>
      <w:proofErr w:type="gramEnd"/>
      <w:r>
        <w:t xml:space="preserve"> water</w:t>
      </w:r>
    </w:p>
    <w:p w14:paraId="2147B9FD" w14:textId="4D671B04" w:rsidR="002038E6" w:rsidRPr="002038E6" w:rsidRDefault="002038E6" w:rsidP="002038E6">
      <w:pPr>
        <w:jc w:val="both"/>
      </w:pPr>
      <w:r w:rsidRPr="002038E6">
        <w:t xml:space="preserve">Access to </w:t>
      </w:r>
      <w:proofErr w:type="gramStart"/>
      <w:r w:rsidRPr="002038E6">
        <w:t>a sufficient quantity of</w:t>
      </w:r>
      <w:proofErr w:type="gramEnd"/>
      <w:r w:rsidRPr="002038E6">
        <w:t xml:space="preserve"> water is essential for meeting daily household needs, including drinking, cooking, and hygiene. The average quantity of water collected per person per day from protected or treated sources, regardless of container type, was 24.61 liters, ranging from 18.8 to 30.4 liters. When considering only protected containers, this average slightly decreased to 23.05 liters per person per day, indicating a reliable supply of water for domestic use. </w:t>
      </w:r>
    </w:p>
    <w:p w14:paraId="328ED191"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65" w:name="_Toc161945746"/>
      <w:r>
        <w:rPr>
          <w:b/>
        </w:rPr>
        <w:t xml:space="preserve">Table </w:t>
      </w:r>
      <w:bookmarkStart w:id="166" w:name="mean-water"/>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37</w:t>
      </w:r>
      <w:r>
        <w:rPr>
          <w:b/>
        </w:rPr>
        <w:fldChar w:fldCharType="end"/>
      </w:r>
      <w:bookmarkEnd w:id="166"/>
      <w:r>
        <w:rPr>
          <w:b/>
        </w:rPr>
        <w:t xml:space="preserve">: </w:t>
      </w:r>
      <w:r>
        <w:t xml:space="preserve">Water Quantity 1: </w:t>
      </w:r>
      <w:proofErr w:type="gramStart"/>
      <w:r>
        <w:t>Amount</w:t>
      </w:r>
      <w:proofErr w:type="gramEnd"/>
      <w:r>
        <w:t xml:space="preserve"> of Litres of Water Used Per Person Per Day</w:t>
      </w:r>
      <w:bookmarkEnd w:id="165"/>
    </w:p>
    <w:tbl>
      <w:tblPr>
        <w:tblW w:w="0" w:type="auto"/>
        <w:jc w:val="center"/>
        <w:tblLayout w:type="fixed"/>
        <w:tblLook w:val="0420" w:firstRow="1" w:lastRow="0" w:firstColumn="0" w:lastColumn="0" w:noHBand="0" w:noVBand="1"/>
      </w:tblPr>
      <w:tblGrid>
        <w:gridCol w:w="3024"/>
        <w:gridCol w:w="1296"/>
        <w:gridCol w:w="2160"/>
        <w:gridCol w:w="720"/>
        <w:gridCol w:w="720"/>
        <w:gridCol w:w="720"/>
        <w:gridCol w:w="720"/>
      </w:tblGrid>
      <w:tr w:rsidR="00BC28CE" w14:paraId="748D5946" w14:textId="77777777">
        <w:trPr>
          <w:tblHeader/>
          <w:jc w:val="center"/>
        </w:trPr>
        <w:tc>
          <w:tcPr>
            <w:tcW w:w="30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C0A799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b/>
                <w:color w:val="FFFFFF"/>
                <w:sz w:val="22"/>
                <w:szCs w:val="22"/>
              </w:rPr>
              <w:t>Variable</w:t>
            </w:r>
          </w:p>
        </w:tc>
        <w:tc>
          <w:tcPr>
            <w:tcW w:w="129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8E6C45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Mean</w:t>
            </w:r>
          </w:p>
        </w:tc>
        <w:tc>
          <w:tcPr>
            <w:tcW w:w="216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806D91B"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95% CI</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9C3ADAF"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Obs.</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2EAFA5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SD</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B93183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Min</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5143DA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Max</w:t>
            </w:r>
          </w:p>
        </w:tc>
      </w:tr>
      <w:tr w:rsidR="00BC28CE" w14:paraId="08A6EDE8" w14:textId="77777777">
        <w:trPr>
          <w:jc w:val="center"/>
        </w:trPr>
        <w:tc>
          <w:tcPr>
            <w:tcW w:w="3024"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DA6C212"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000000"/>
                <w:sz w:val="22"/>
                <w:szCs w:val="22"/>
              </w:rPr>
              <w:t>Average # L/p/d of domestic water collected at household level, from protected/treated sources with containers of any type</w:t>
            </w:r>
          </w:p>
        </w:tc>
        <w:tc>
          <w:tcPr>
            <w:tcW w:w="1296"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701F4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24.61</w:t>
            </w:r>
          </w:p>
        </w:tc>
        <w:tc>
          <w:tcPr>
            <w:tcW w:w="2160"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6BDE0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(18.8,</w:t>
            </w:r>
            <w:r>
              <w:rPr>
                <w:rFonts w:ascii="Arial" w:eastAsia="DejaVu Sans" w:hAnsi="DejaVu Sans" w:cs="DejaVu Sans"/>
                <w:color w:val="000000"/>
                <w:sz w:val="22"/>
                <w:szCs w:val="22"/>
              </w:rPr>
              <w:t> </w:t>
            </w:r>
            <w:r>
              <w:rPr>
                <w:rFonts w:ascii="Arial" w:eastAsia="DejaVu Sans" w:hAnsi="DejaVu Sans" w:cs="DejaVu Sans"/>
                <w:color w:val="000000"/>
                <w:sz w:val="22"/>
                <w:szCs w:val="22"/>
              </w:rPr>
              <w:t>30.4)</w:t>
            </w:r>
          </w:p>
        </w:tc>
        <w:tc>
          <w:tcPr>
            <w:tcW w:w="720"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325F9C"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614</w:t>
            </w:r>
          </w:p>
        </w:tc>
        <w:tc>
          <w:tcPr>
            <w:tcW w:w="720"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58A90B4"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36.69</w:t>
            </w:r>
          </w:p>
        </w:tc>
        <w:tc>
          <w:tcPr>
            <w:tcW w:w="720"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DE299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0</w:t>
            </w:r>
          </w:p>
        </w:tc>
        <w:tc>
          <w:tcPr>
            <w:tcW w:w="720"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EEB51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423.3</w:t>
            </w:r>
          </w:p>
        </w:tc>
      </w:tr>
      <w:tr w:rsidR="00BC28CE" w14:paraId="06454C90" w14:textId="77777777">
        <w:trPr>
          <w:jc w:val="center"/>
        </w:trPr>
        <w:tc>
          <w:tcPr>
            <w:tcW w:w="3024"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701A4FE"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000000"/>
                <w:sz w:val="22"/>
                <w:szCs w:val="22"/>
              </w:rPr>
              <w:t>Average # L/p/d of domestic water collected at household level, from protected/treated sources with protected containers only</w:t>
            </w:r>
          </w:p>
        </w:tc>
        <w:tc>
          <w:tcPr>
            <w:tcW w:w="1296"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523513A"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23.05</w:t>
            </w:r>
          </w:p>
        </w:tc>
        <w:tc>
          <w:tcPr>
            <w:tcW w:w="216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6F01DA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(17.4,</w:t>
            </w:r>
            <w:r>
              <w:rPr>
                <w:rFonts w:ascii="Arial" w:eastAsia="DejaVu Sans" w:hAnsi="DejaVu Sans" w:cs="DejaVu Sans"/>
                <w:color w:val="000000"/>
                <w:sz w:val="22"/>
                <w:szCs w:val="22"/>
              </w:rPr>
              <w:t> </w:t>
            </w:r>
            <w:r>
              <w:rPr>
                <w:rFonts w:ascii="Arial" w:eastAsia="DejaVu Sans" w:hAnsi="DejaVu Sans" w:cs="DejaVu Sans"/>
                <w:color w:val="000000"/>
                <w:sz w:val="22"/>
                <w:szCs w:val="22"/>
              </w:rPr>
              <w:t>28.7)</w:t>
            </w:r>
          </w:p>
        </w:tc>
        <w:tc>
          <w:tcPr>
            <w:tcW w:w="72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4AF3624"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614</w:t>
            </w:r>
          </w:p>
        </w:tc>
        <w:tc>
          <w:tcPr>
            <w:tcW w:w="72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0BCB0B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36.46</w:t>
            </w:r>
          </w:p>
        </w:tc>
        <w:tc>
          <w:tcPr>
            <w:tcW w:w="72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1D4015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0</w:t>
            </w:r>
          </w:p>
        </w:tc>
        <w:tc>
          <w:tcPr>
            <w:tcW w:w="72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D4474E5"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423.3</w:t>
            </w:r>
          </w:p>
        </w:tc>
      </w:tr>
    </w:tbl>
    <w:p w14:paraId="2B96F2DA" w14:textId="4B32D213" w:rsidR="00BC28CE" w:rsidRDefault="002038E6">
      <w:r w:rsidRPr="002038E6">
        <w:t>Despite this, there remains a significant portion of households with inadequate access to water, as 52.0% reported collecting less than 15 liters per person per day, according to the frequency distribution. However, nearly half of the households (48.0%) reported collecting 15 liters per person per day or more, suggesting that a substantial proportion of the population has access to an adequate quantity of water.</w:t>
      </w:r>
      <w:r w:rsidR="00000000">
        <w:br/>
      </w:r>
    </w:p>
    <w:p w14:paraId="58EF540F"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67" w:name="_Toc161945747"/>
      <w:r>
        <w:rPr>
          <w:b/>
        </w:rPr>
        <w:t xml:space="preserve">Table </w:t>
      </w:r>
      <w:bookmarkStart w:id="168" w:name="prop-water"/>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38</w:t>
      </w:r>
      <w:r>
        <w:rPr>
          <w:b/>
        </w:rPr>
        <w:fldChar w:fldCharType="end"/>
      </w:r>
      <w:bookmarkEnd w:id="168"/>
      <w:r>
        <w:rPr>
          <w:b/>
        </w:rPr>
        <w:t xml:space="preserve">: </w:t>
      </w:r>
      <w:r>
        <w:t xml:space="preserve">Proportion of households that use domestic water collected from protected/treated sources with protected containers </w:t>
      </w:r>
      <w:proofErr w:type="gramStart"/>
      <w:r>
        <w:t>only</w:t>
      </w:r>
      <w:bookmarkEnd w:id="167"/>
      <w:proofErr w:type="gramEnd"/>
    </w:p>
    <w:tbl>
      <w:tblPr>
        <w:tblW w:w="5000" w:type="pct"/>
        <w:jc w:val="center"/>
        <w:tblLook w:val="0420" w:firstRow="1" w:lastRow="0" w:firstColumn="0" w:lastColumn="0" w:noHBand="0" w:noVBand="1"/>
      </w:tblPr>
      <w:tblGrid>
        <w:gridCol w:w="2449"/>
        <w:gridCol w:w="1215"/>
        <w:gridCol w:w="2368"/>
        <w:gridCol w:w="3328"/>
      </w:tblGrid>
      <w:tr w:rsidR="00BC28CE" w14:paraId="6826AFE8" w14:textId="77777777" w:rsidTr="002038E6">
        <w:trPr>
          <w:tblHeader/>
          <w:jc w:val="center"/>
        </w:trPr>
        <w:tc>
          <w:tcPr>
            <w:tcW w:w="1308"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078AC7F"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649"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07E774D"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6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EB3A5D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1778"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CEE971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2B139A7B" w14:textId="77777777" w:rsidTr="002038E6">
        <w:trPr>
          <w:jc w:val="center"/>
        </w:trPr>
        <w:tc>
          <w:tcPr>
            <w:tcW w:w="1308"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3748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15 </w:t>
            </w:r>
            <w:proofErr w:type="spellStart"/>
            <w:r>
              <w:rPr>
                <w:rFonts w:ascii="Arial" w:eastAsia="DejaVu Sans" w:hAnsi="DejaVu Sans" w:cs="DejaVu Sans"/>
                <w:color w:val="000000"/>
                <w:sz w:val="22"/>
                <w:szCs w:val="22"/>
              </w:rPr>
              <w:t>lpppd</w:t>
            </w:r>
            <w:proofErr w:type="spellEnd"/>
          </w:p>
        </w:tc>
        <w:tc>
          <w:tcPr>
            <w:tcW w:w="649"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F09B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295</w:t>
            </w:r>
          </w:p>
        </w:tc>
        <w:tc>
          <w:tcPr>
            <w:tcW w:w="1265"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79B6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48.0%</w:t>
            </w:r>
          </w:p>
        </w:tc>
        <w:tc>
          <w:tcPr>
            <w:tcW w:w="1778"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36169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(37.9%,</w:t>
            </w:r>
            <w:r>
              <w:rPr>
                <w:rFonts w:ascii="Arial" w:eastAsia="DejaVu Sans" w:hAnsi="DejaVu Sans" w:cs="DejaVu Sans"/>
                <w:color w:val="000000"/>
                <w:sz w:val="22"/>
                <w:szCs w:val="22"/>
              </w:rPr>
              <w:t> </w:t>
            </w:r>
            <w:r>
              <w:rPr>
                <w:rFonts w:ascii="Arial" w:eastAsia="DejaVu Sans" w:hAnsi="DejaVu Sans" w:cs="DejaVu Sans"/>
                <w:color w:val="000000"/>
                <w:sz w:val="22"/>
                <w:szCs w:val="22"/>
              </w:rPr>
              <w:t>58.4%)</w:t>
            </w:r>
          </w:p>
        </w:tc>
      </w:tr>
      <w:tr w:rsidR="00BC28CE" w14:paraId="1A35DF33" w14:textId="77777777" w:rsidTr="002038E6">
        <w:trPr>
          <w:jc w:val="center"/>
        </w:trPr>
        <w:tc>
          <w:tcPr>
            <w:tcW w:w="1308"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2A1A33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&lt; 15 </w:t>
            </w:r>
            <w:proofErr w:type="spellStart"/>
            <w:r>
              <w:rPr>
                <w:rFonts w:ascii="Arial" w:eastAsia="DejaVu Sans" w:hAnsi="DejaVu Sans" w:cs="DejaVu Sans"/>
                <w:color w:val="000000"/>
                <w:sz w:val="22"/>
                <w:szCs w:val="22"/>
              </w:rPr>
              <w:t>lpppd</w:t>
            </w:r>
            <w:proofErr w:type="spellEnd"/>
          </w:p>
        </w:tc>
        <w:tc>
          <w:tcPr>
            <w:tcW w:w="649"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4A2485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319</w:t>
            </w:r>
          </w:p>
        </w:tc>
        <w:tc>
          <w:tcPr>
            <w:tcW w:w="1265"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761A110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52.0%</w:t>
            </w:r>
          </w:p>
        </w:tc>
        <w:tc>
          <w:tcPr>
            <w:tcW w:w="1778"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610BBBF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(41.6%,</w:t>
            </w:r>
            <w:r>
              <w:rPr>
                <w:rFonts w:ascii="Arial" w:eastAsia="DejaVu Sans" w:hAnsi="DejaVu Sans" w:cs="DejaVu Sans"/>
                <w:color w:val="000000"/>
                <w:sz w:val="22"/>
                <w:szCs w:val="22"/>
              </w:rPr>
              <w:t> </w:t>
            </w:r>
            <w:r>
              <w:rPr>
                <w:rFonts w:ascii="Arial" w:eastAsia="DejaVu Sans" w:hAnsi="DejaVu Sans" w:cs="DejaVu Sans"/>
                <w:color w:val="000000"/>
                <w:sz w:val="22"/>
                <w:szCs w:val="22"/>
              </w:rPr>
              <w:t>62.1%)</w:t>
            </w:r>
          </w:p>
        </w:tc>
      </w:tr>
      <w:tr w:rsidR="00BC28CE" w14:paraId="0C129891" w14:textId="77777777" w:rsidTr="002038E6">
        <w:trPr>
          <w:jc w:val="center"/>
        </w:trPr>
        <w:tc>
          <w:tcPr>
            <w:tcW w:w="1308"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FC068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649"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3728FE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614</w:t>
            </w:r>
          </w:p>
        </w:tc>
        <w:tc>
          <w:tcPr>
            <w:tcW w:w="1265"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D06C8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1778"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836DEE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4073B92F" w14:textId="77777777" w:rsidR="00BC28CE" w:rsidRDefault="00000000">
      <w:r>
        <w:br/>
      </w:r>
    </w:p>
    <w:p w14:paraId="329416FE" w14:textId="77777777" w:rsidR="00BC28CE" w:rsidRDefault="00000000">
      <w:pPr>
        <w:pStyle w:val="Heading3"/>
      </w:pPr>
      <w:bookmarkStart w:id="169" w:name="X6cee6ba6bd3d0b528f378cd53e78281f60e0ea1"/>
      <w:bookmarkEnd w:id="129"/>
      <w:bookmarkEnd w:id="146"/>
      <w:bookmarkEnd w:id="164"/>
      <w:r>
        <w:lastRenderedPageBreak/>
        <w:t>Indicators at individual level – Children 6-59 months</w:t>
      </w:r>
    </w:p>
    <w:p w14:paraId="7642DCB8" w14:textId="77777777" w:rsidR="00BC28CE" w:rsidRDefault="00000000">
      <w:pPr>
        <w:pStyle w:val="Heading4"/>
      </w:pPr>
      <w:bookmarkStart w:id="170" w:name="nutrition-and-health"/>
      <w:r>
        <w:t>Nutrition and Health</w:t>
      </w:r>
    </w:p>
    <w:p w14:paraId="7E1A85DC" w14:textId="77777777" w:rsidR="00BC28CE" w:rsidRDefault="00000000">
      <w:pPr>
        <w:pStyle w:val="Heading5"/>
      </w:pPr>
      <w:bookmarkStart w:id="171" w:name="vitamin-a-supplementation"/>
      <w:r>
        <w:t>Vitamin A Supplementation</w:t>
      </w:r>
    </w:p>
    <w:p w14:paraId="4D387F60" w14:textId="2902ECC9" w:rsidR="00A62A65" w:rsidRPr="00A62A65" w:rsidRDefault="00A62A65" w:rsidP="00A62A65">
      <w:pPr>
        <w:jc w:val="both"/>
      </w:pPr>
      <w:r w:rsidRPr="00A62A65">
        <w:t xml:space="preserve">The coverage of Vitamin A supplementation among children aged 6-59 months saw a slight increase from 78% in 2023 to 79.8% in 2024, although it remained below the set target of 80%. Among the households surveyed, 79.8% reported providing Vitamin A supplementation to their children, with 39.3% using a card system and 40.4% recalling the supplementation without </w:t>
      </w:r>
      <w:r w:rsidRPr="00A62A65">
        <w:t>documented evidence</w:t>
      </w:r>
      <w:r w:rsidRPr="00A62A65">
        <w:t>. Despite this progress, 20.2% of households did not provide Vitamin A supplementation to their children, indicating the need for continued efforts to reach the remaining portion of the population. This increase in coverage is attributed to ongoing integrated outreach efforts, including the incorporation of Vitamin A supplementation into mass screening programs and regular on-the-job training sessions focusing on the importance and administration of Vitamin A supplementation.</w:t>
      </w:r>
    </w:p>
    <w:p w14:paraId="5A8E5569"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72" w:name="_Toc161945748"/>
      <w:r>
        <w:rPr>
          <w:b/>
        </w:rPr>
        <w:t xml:space="preserve">Table </w:t>
      </w:r>
      <w:bookmarkStart w:id="173" w:name="prop-vita"/>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39</w:t>
      </w:r>
      <w:r>
        <w:rPr>
          <w:b/>
        </w:rPr>
        <w:fldChar w:fldCharType="end"/>
      </w:r>
      <w:bookmarkEnd w:id="173"/>
      <w:r>
        <w:rPr>
          <w:b/>
        </w:rPr>
        <w:t xml:space="preserve">: </w:t>
      </w:r>
      <w:r>
        <w:t xml:space="preserve">Vitamin A supplementation coverage for children aged 6-59 months within the past 6 </w:t>
      </w:r>
      <w:proofErr w:type="gramStart"/>
      <w:r>
        <w:t>months</w:t>
      </w:r>
      <w:bookmarkEnd w:id="172"/>
      <w:proofErr w:type="gramEnd"/>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3E73889C"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16F8D2A"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F874CF0"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49F745F"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4402A8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CACDBA7"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6819B8AE"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14C94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Supplementation</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1F265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359</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B1BC0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79.8%</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2C7DA9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(71.0%,</w:t>
            </w:r>
            <w:r>
              <w:rPr>
                <w:rFonts w:ascii="Arial" w:eastAsia="DejaVu Sans" w:hAnsi="DejaVu Sans" w:cs="DejaVu Sans"/>
                <w:color w:val="000000"/>
                <w:sz w:val="22"/>
                <w:szCs w:val="22"/>
              </w:rPr>
              <w:t> </w:t>
            </w:r>
            <w:r>
              <w:rPr>
                <w:rFonts w:ascii="Arial" w:eastAsia="DejaVu Sans" w:hAnsi="DejaVu Sans" w:cs="DejaVu Sans"/>
                <w:color w:val="000000"/>
                <w:sz w:val="22"/>
                <w:szCs w:val="22"/>
              </w:rPr>
              <w:t>86.4%)</w:t>
            </w:r>
          </w:p>
        </w:tc>
      </w:tr>
      <w:tr w:rsidR="00BC28CE" w14:paraId="30179E58"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CEE5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4CBD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card</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00CB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177</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8C85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39.3%</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D95E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(31.3%,</w:t>
            </w:r>
            <w:r>
              <w:rPr>
                <w:rFonts w:ascii="Arial" w:eastAsia="DejaVu Sans" w:hAnsi="DejaVu Sans" w:cs="DejaVu Sans"/>
                <w:color w:val="000000"/>
                <w:sz w:val="22"/>
                <w:szCs w:val="22"/>
              </w:rPr>
              <w:t> </w:t>
            </w:r>
            <w:r>
              <w:rPr>
                <w:rFonts w:ascii="Arial" w:eastAsia="DejaVu Sans" w:hAnsi="DejaVu Sans" w:cs="DejaVu Sans"/>
                <w:color w:val="000000"/>
                <w:sz w:val="22"/>
                <w:szCs w:val="22"/>
              </w:rPr>
              <w:t>47.9%)</w:t>
            </w:r>
          </w:p>
        </w:tc>
      </w:tr>
      <w:tr w:rsidR="00BC28CE" w14:paraId="209AA526"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52259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DB0F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recall</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FD8D8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182</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2C07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40.4%</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1689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(32.5%,</w:t>
            </w:r>
            <w:r>
              <w:rPr>
                <w:rFonts w:ascii="Arial" w:eastAsia="DejaVu Sans" w:hAnsi="DejaVu Sans" w:cs="DejaVu Sans"/>
                <w:color w:val="000000"/>
                <w:sz w:val="22"/>
                <w:szCs w:val="22"/>
              </w:rPr>
              <w:t> </w:t>
            </w:r>
            <w:r>
              <w:rPr>
                <w:rFonts w:ascii="Arial" w:eastAsia="DejaVu Sans" w:hAnsi="DejaVu Sans" w:cs="DejaVu Sans"/>
                <w:color w:val="000000"/>
                <w:sz w:val="22"/>
                <w:szCs w:val="22"/>
              </w:rPr>
              <w:t>48.9%)</w:t>
            </w:r>
          </w:p>
        </w:tc>
      </w:tr>
      <w:tr w:rsidR="00BC28CE" w14:paraId="0ED46BF0"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7BE76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 supplementation</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0C3A2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91</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C50D5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20.2%</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40A00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(13.6%,</w:t>
            </w:r>
            <w:r>
              <w:rPr>
                <w:rFonts w:ascii="Arial" w:eastAsia="DejaVu Sans" w:hAnsi="DejaVu Sans" w:cs="DejaVu Sans"/>
                <w:color w:val="000000"/>
                <w:sz w:val="22"/>
                <w:szCs w:val="22"/>
              </w:rPr>
              <w:t> </w:t>
            </w:r>
            <w:r>
              <w:rPr>
                <w:rFonts w:ascii="Arial" w:eastAsia="DejaVu Sans" w:hAnsi="DejaVu Sans" w:cs="DejaVu Sans"/>
                <w:color w:val="000000"/>
                <w:sz w:val="22"/>
                <w:szCs w:val="22"/>
              </w:rPr>
              <w:t>29.0%)</w:t>
            </w:r>
          </w:p>
        </w:tc>
      </w:tr>
      <w:tr w:rsidR="00BC28CE" w14:paraId="371FAD15"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3D85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4A36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 or don't know</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23E0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91</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67061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20.2%</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6BEA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(13.6%,</w:t>
            </w:r>
            <w:r>
              <w:rPr>
                <w:rFonts w:ascii="Arial" w:eastAsia="DejaVu Sans" w:hAnsi="DejaVu Sans" w:cs="DejaVu Sans"/>
                <w:color w:val="000000"/>
                <w:sz w:val="22"/>
                <w:szCs w:val="22"/>
              </w:rPr>
              <w:t> </w:t>
            </w:r>
            <w:r>
              <w:rPr>
                <w:rFonts w:ascii="Arial" w:eastAsia="DejaVu Sans" w:hAnsi="DejaVu Sans" w:cs="DejaVu Sans"/>
                <w:color w:val="000000"/>
                <w:sz w:val="22"/>
                <w:szCs w:val="22"/>
              </w:rPr>
              <w:t>29.0%)</w:t>
            </w:r>
          </w:p>
        </w:tc>
      </w:tr>
      <w:tr w:rsidR="00BC28CE" w14:paraId="40672C85"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553FE08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0E96B7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450</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702C7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50A40B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5123B5FE" w14:textId="7042B23C" w:rsidR="00BC28CE" w:rsidRDefault="00BC28CE"/>
    <w:p w14:paraId="6209BCA5" w14:textId="77777777" w:rsidR="00BC28CE" w:rsidRDefault="00000000">
      <w:pPr>
        <w:pStyle w:val="Heading5"/>
      </w:pPr>
      <w:bookmarkStart w:id="174" w:name="deworming-coverage"/>
      <w:bookmarkEnd w:id="171"/>
      <w:r>
        <w:t>Deworming coverage</w:t>
      </w:r>
    </w:p>
    <w:p w14:paraId="57B0D31A" w14:textId="466E0623" w:rsidR="00721559" w:rsidRPr="00A62A65" w:rsidRDefault="00721559" w:rsidP="00A62A65">
      <w:pPr>
        <w:jc w:val="both"/>
      </w:pPr>
      <w:r w:rsidRPr="00721559">
        <w:t>A significant proportion of households, comprising 70.4%, reported having undergone deworming. However, 29.6% of households did not participate in deworming, revealing a gap in coverage. Th</w:t>
      </w:r>
      <w:r>
        <w:t>e</w:t>
      </w:r>
      <w:r w:rsidRPr="00721559">
        <w:t xml:space="preserve"> </w:t>
      </w:r>
      <w:r>
        <w:t>coverage</w:t>
      </w:r>
      <w:r w:rsidRPr="00721559">
        <w:t xml:space="preserve"> falls below the target threshold of 80%, signaling the necessity for enhanced efforts to boost participation in deworming initiatives.</w:t>
      </w:r>
    </w:p>
    <w:p w14:paraId="2A96EAF2"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75" w:name="_Toc161945749"/>
      <w:r>
        <w:rPr>
          <w:b/>
        </w:rPr>
        <w:t xml:space="preserve">Table </w:t>
      </w:r>
      <w:bookmarkStart w:id="176" w:name="prop-deworming"/>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40</w:t>
      </w:r>
      <w:r>
        <w:rPr>
          <w:b/>
        </w:rPr>
        <w:fldChar w:fldCharType="end"/>
      </w:r>
      <w:bookmarkEnd w:id="176"/>
      <w:r>
        <w:rPr>
          <w:b/>
        </w:rPr>
        <w:t xml:space="preserve">: </w:t>
      </w:r>
      <w:r>
        <w:t>Deworming coverage for children aged 12-59 months within the past 6 months*</w:t>
      </w:r>
      <w:bookmarkEnd w:id="175"/>
    </w:p>
    <w:tbl>
      <w:tblPr>
        <w:tblW w:w="5000" w:type="pct"/>
        <w:jc w:val="center"/>
        <w:tblLook w:val="0420" w:firstRow="1" w:lastRow="0" w:firstColumn="0" w:lastColumn="0" w:noHBand="0" w:noVBand="1"/>
      </w:tblPr>
      <w:tblGrid>
        <w:gridCol w:w="1528"/>
        <w:gridCol w:w="1376"/>
        <w:gridCol w:w="2684"/>
        <w:gridCol w:w="3772"/>
      </w:tblGrid>
      <w:tr w:rsidR="00BC28CE" w14:paraId="7961C600" w14:textId="77777777" w:rsidTr="00721559">
        <w:trPr>
          <w:tblHeader/>
          <w:jc w:val="center"/>
        </w:trPr>
        <w:tc>
          <w:tcPr>
            <w:tcW w:w="816"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AC01A0E"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73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6B48A9D"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434"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73688DE"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4"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22D92B4"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48B213A1" w14:textId="77777777" w:rsidTr="00721559">
        <w:trPr>
          <w:jc w:val="center"/>
        </w:trPr>
        <w:tc>
          <w:tcPr>
            <w:tcW w:w="816"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F5DA3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w:t>
            </w:r>
          </w:p>
        </w:tc>
        <w:tc>
          <w:tcPr>
            <w:tcW w:w="735"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0C095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111</w:t>
            </w:r>
          </w:p>
        </w:tc>
        <w:tc>
          <w:tcPr>
            <w:tcW w:w="1434"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2486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29.6%</w:t>
            </w:r>
          </w:p>
        </w:tc>
        <w:tc>
          <w:tcPr>
            <w:tcW w:w="2014"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57DC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(22.0%,</w:t>
            </w:r>
            <w:r>
              <w:rPr>
                <w:rFonts w:ascii="Arial" w:eastAsia="DejaVu Sans" w:hAnsi="DejaVu Sans" w:cs="DejaVu Sans"/>
                <w:color w:val="000000"/>
                <w:sz w:val="22"/>
                <w:szCs w:val="22"/>
              </w:rPr>
              <w:t> </w:t>
            </w:r>
            <w:r>
              <w:rPr>
                <w:rFonts w:ascii="Arial" w:eastAsia="DejaVu Sans" w:hAnsi="DejaVu Sans" w:cs="DejaVu Sans"/>
                <w:color w:val="000000"/>
                <w:sz w:val="22"/>
                <w:szCs w:val="22"/>
              </w:rPr>
              <w:t>38.5%)</w:t>
            </w:r>
          </w:p>
        </w:tc>
      </w:tr>
      <w:tr w:rsidR="00BC28CE" w14:paraId="772D14E9" w14:textId="77777777" w:rsidTr="00721559">
        <w:trPr>
          <w:jc w:val="center"/>
        </w:trPr>
        <w:tc>
          <w:tcPr>
            <w:tcW w:w="816"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72A7E3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w:t>
            </w:r>
          </w:p>
        </w:tc>
        <w:tc>
          <w:tcPr>
            <w:tcW w:w="735"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2DC122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264</w:t>
            </w:r>
          </w:p>
        </w:tc>
        <w:tc>
          <w:tcPr>
            <w:tcW w:w="1434"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654569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70.4%</w:t>
            </w:r>
          </w:p>
        </w:tc>
        <w:tc>
          <w:tcPr>
            <w:tcW w:w="2014" w:type="pct"/>
            <w:tcBorders>
              <w:top w:val="none" w:sz="0" w:space="0" w:color="000000"/>
              <w:left w:val="none" w:sz="0" w:space="0" w:color="000000"/>
              <w:bottom w:val="single" w:sz="8" w:space="0" w:color="A9A9A9"/>
              <w:right w:val="none" w:sz="0" w:space="0" w:color="000000"/>
            </w:tcBorders>
            <w:shd w:val="clear" w:color="auto" w:fill="FFFFFF"/>
            <w:tcMar>
              <w:top w:w="0" w:type="dxa"/>
              <w:left w:w="0" w:type="dxa"/>
              <w:bottom w:w="0" w:type="dxa"/>
              <w:right w:w="0" w:type="dxa"/>
            </w:tcMar>
            <w:vAlign w:val="center"/>
          </w:tcPr>
          <w:p w14:paraId="32E786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(61.5%,</w:t>
            </w:r>
            <w:r>
              <w:rPr>
                <w:rFonts w:ascii="Arial" w:eastAsia="DejaVu Sans" w:hAnsi="DejaVu Sans" w:cs="DejaVu Sans"/>
                <w:color w:val="000000"/>
                <w:sz w:val="22"/>
                <w:szCs w:val="22"/>
              </w:rPr>
              <w:t> </w:t>
            </w:r>
            <w:r>
              <w:rPr>
                <w:rFonts w:ascii="Arial" w:eastAsia="DejaVu Sans" w:hAnsi="DejaVu Sans" w:cs="DejaVu Sans"/>
                <w:color w:val="000000"/>
                <w:sz w:val="22"/>
                <w:szCs w:val="22"/>
              </w:rPr>
              <w:t>78.0%)</w:t>
            </w:r>
          </w:p>
        </w:tc>
      </w:tr>
      <w:tr w:rsidR="00BC28CE" w14:paraId="2C37BFF3" w14:textId="77777777" w:rsidTr="00721559">
        <w:trPr>
          <w:jc w:val="center"/>
        </w:trPr>
        <w:tc>
          <w:tcPr>
            <w:tcW w:w="816"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78825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735"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D23FB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375</w:t>
            </w:r>
          </w:p>
        </w:tc>
        <w:tc>
          <w:tcPr>
            <w:tcW w:w="1434"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88351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4" w:type="pct"/>
            <w:tcBorders>
              <w:top w:val="single" w:sz="8" w:space="0" w:color="A9A9A9"/>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0D165B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r w:rsidR="00BC28CE" w14:paraId="2A47990F" w14:textId="77777777" w:rsidTr="00721559">
        <w:trPr>
          <w:jc w:val="center"/>
        </w:trPr>
        <w:tc>
          <w:tcPr>
            <w:tcW w:w="5000" w:type="pct"/>
            <w:gridSpan w:val="4"/>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71CB9608"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Note that this refers to large-scale campaigns done with mebendazole and/or albendazole.</w:t>
            </w:r>
          </w:p>
        </w:tc>
      </w:tr>
    </w:tbl>
    <w:p w14:paraId="17C79A83" w14:textId="77777777" w:rsidR="00BC28CE" w:rsidRDefault="00000000">
      <w:r>
        <w:lastRenderedPageBreak/>
        <w:br/>
      </w:r>
    </w:p>
    <w:p w14:paraId="5F7F40B2" w14:textId="77777777" w:rsidR="00BC28CE" w:rsidRDefault="00000000">
      <w:pPr>
        <w:pStyle w:val="Heading5"/>
      </w:pPr>
      <w:bookmarkStart w:id="177" w:name="measles-vaccination-coverage"/>
      <w:bookmarkEnd w:id="174"/>
      <w:r>
        <w:t>Measles vaccination coverage</w:t>
      </w:r>
    </w:p>
    <w:p w14:paraId="20C50AE2" w14:textId="2F2F25FF" w:rsidR="00721559" w:rsidRPr="00721559" w:rsidRDefault="00AE6FA5" w:rsidP="00AE6FA5">
      <w:pPr>
        <w:jc w:val="both"/>
      </w:pPr>
      <w:r w:rsidRPr="00AE6FA5">
        <w:t xml:space="preserve">Measles vaccination coverage among children aged 9-23 months and 9-59 months demonstrates commendable rates, with both vaccination card and recall methods exceeding 90%. This suggests accessible healthcare services for children under five years old. However, a significant proportion of children </w:t>
      </w:r>
      <w:r>
        <w:t xml:space="preserve">who </w:t>
      </w:r>
      <w:r w:rsidRPr="00AE6FA5">
        <w:t>receive</w:t>
      </w:r>
      <w:r>
        <w:t>d</w:t>
      </w:r>
      <w:r w:rsidRPr="00AE6FA5">
        <w:t xml:space="preserve"> measles vaccination</w:t>
      </w:r>
      <w:r>
        <w:t xml:space="preserve"> was reported by</w:t>
      </w:r>
      <w:r w:rsidRPr="00AE6FA5">
        <w:t xml:space="preserve"> recall rather than documented evidence, indicating a potential gap in record-keeping or awareness regarding vaccination cards.</w:t>
      </w:r>
    </w:p>
    <w:p w14:paraId="2FE1D3D7"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78" w:name="_Toc161945750"/>
      <w:r>
        <w:rPr>
          <w:b/>
        </w:rPr>
        <w:t xml:space="preserve">Table </w:t>
      </w:r>
      <w:bookmarkStart w:id="179" w:name="prop-measles1"/>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41</w:t>
      </w:r>
      <w:r>
        <w:rPr>
          <w:b/>
        </w:rPr>
        <w:fldChar w:fldCharType="end"/>
      </w:r>
      <w:bookmarkEnd w:id="179"/>
      <w:r>
        <w:rPr>
          <w:b/>
        </w:rPr>
        <w:t xml:space="preserve">: </w:t>
      </w:r>
      <w:r>
        <w:t xml:space="preserve">Measles vaccination coverage for children aged 9-59 </w:t>
      </w:r>
      <w:proofErr w:type="gramStart"/>
      <w:r>
        <w:t>months</w:t>
      </w:r>
      <w:bookmarkEnd w:id="178"/>
      <w:proofErr w:type="gramEnd"/>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4B9AD656"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588BD85"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9DB45B2"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C0DA837"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2FB04B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2EFFBC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02B53FB9"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0E1D814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CF652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406</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0CA7E9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93.5%</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36708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(89.8%,</w:t>
            </w:r>
            <w:r>
              <w:rPr>
                <w:rFonts w:ascii="Arial" w:eastAsia="DejaVu Sans" w:hAnsi="DejaVu Sans" w:cs="DejaVu Sans"/>
                <w:color w:val="000000"/>
                <w:sz w:val="22"/>
                <w:szCs w:val="22"/>
              </w:rPr>
              <w:t> </w:t>
            </w:r>
            <w:r>
              <w:rPr>
                <w:rFonts w:ascii="Arial" w:eastAsia="DejaVu Sans" w:hAnsi="DejaVu Sans" w:cs="DejaVu Sans"/>
                <w:color w:val="000000"/>
                <w:sz w:val="22"/>
                <w:szCs w:val="22"/>
              </w:rPr>
              <w:t>96.0%)</w:t>
            </w:r>
          </w:p>
        </w:tc>
      </w:tr>
      <w:tr w:rsidR="00BC28CE" w14:paraId="64C7F53C"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E5A4AF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FAA6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card</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CE58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266</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1193D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61.3%</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5AC1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(53.7%,</w:t>
            </w:r>
            <w:r>
              <w:rPr>
                <w:rFonts w:ascii="Arial" w:eastAsia="DejaVu Sans" w:hAnsi="DejaVu Sans" w:cs="DejaVu Sans"/>
                <w:color w:val="000000"/>
                <w:sz w:val="22"/>
                <w:szCs w:val="22"/>
              </w:rPr>
              <w:t> </w:t>
            </w:r>
            <w:r>
              <w:rPr>
                <w:rFonts w:ascii="Arial" w:eastAsia="DejaVu Sans" w:hAnsi="DejaVu Sans" w:cs="DejaVu Sans"/>
                <w:color w:val="000000"/>
                <w:sz w:val="22"/>
                <w:szCs w:val="22"/>
              </w:rPr>
              <w:t>68.3%)</w:t>
            </w:r>
          </w:p>
        </w:tc>
      </w:tr>
      <w:tr w:rsidR="00BC28CE" w14:paraId="5CAFDAAB"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17DC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C7FAF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recall</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98225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140</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EE5A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32.3%</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304DD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(25.9%,</w:t>
            </w:r>
            <w:r>
              <w:rPr>
                <w:rFonts w:ascii="Arial" w:eastAsia="DejaVu Sans" w:hAnsi="DejaVu Sans" w:cs="DejaVu Sans"/>
                <w:color w:val="000000"/>
                <w:sz w:val="22"/>
                <w:szCs w:val="22"/>
              </w:rPr>
              <w:t> </w:t>
            </w:r>
            <w:r>
              <w:rPr>
                <w:rFonts w:ascii="Arial" w:eastAsia="DejaVu Sans" w:hAnsi="DejaVu Sans" w:cs="DejaVu Sans"/>
                <w:color w:val="000000"/>
                <w:sz w:val="22"/>
                <w:szCs w:val="22"/>
              </w:rPr>
              <w:t>39.4%)</w:t>
            </w:r>
          </w:p>
        </w:tc>
      </w:tr>
      <w:tr w:rsidR="00BC28CE" w14:paraId="181436E9"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164A8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DAD137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28</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23D0CF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6.5%</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CB99E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w:t>
            </w:r>
            <w:r>
              <w:rPr>
                <w:rFonts w:ascii="Arial" w:eastAsia="DejaVu Sans" w:hAnsi="DejaVu Sans" w:cs="DejaVu Sans"/>
                <w:color w:val="000000"/>
                <w:sz w:val="22"/>
                <w:szCs w:val="22"/>
              </w:rPr>
              <w:t> </w:t>
            </w:r>
            <w:r>
              <w:rPr>
                <w:rFonts w:ascii="Arial" w:eastAsia="DejaVu Sans" w:hAnsi="DejaVu Sans" w:cs="DejaVu Sans"/>
                <w:color w:val="000000"/>
                <w:sz w:val="22"/>
                <w:szCs w:val="22"/>
              </w:rPr>
              <w:t>10.2%)</w:t>
            </w:r>
          </w:p>
        </w:tc>
      </w:tr>
      <w:tr w:rsidR="00BC28CE" w14:paraId="2EE12738"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8B3F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127C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 or don't know</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51AB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28</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B2109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6.5%</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7790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w:t>
            </w:r>
            <w:r>
              <w:rPr>
                <w:rFonts w:ascii="Arial" w:eastAsia="DejaVu Sans" w:hAnsi="DejaVu Sans" w:cs="DejaVu Sans"/>
                <w:color w:val="000000"/>
                <w:sz w:val="22"/>
                <w:szCs w:val="22"/>
              </w:rPr>
              <w:t> </w:t>
            </w:r>
            <w:r>
              <w:rPr>
                <w:rFonts w:ascii="Arial" w:eastAsia="DejaVu Sans" w:hAnsi="DejaVu Sans" w:cs="DejaVu Sans"/>
                <w:color w:val="000000"/>
                <w:sz w:val="22"/>
                <w:szCs w:val="22"/>
              </w:rPr>
              <w:t>10.2%)</w:t>
            </w:r>
          </w:p>
        </w:tc>
      </w:tr>
      <w:tr w:rsidR="00BC28CE" w14:paraId="4F022220"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0EAA52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3719C9B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434</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735C058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2C4E32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1FE3F74D" w14:textId="3ED182E6" w:rsidR="00BC28CE" w:rsidRDefault="00BC28CE"/>
    <w:p w14:paraId="0792F801"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80" w:name="_Toc161945751"/>
      <w:r>
        <w:rPr>
          <w:b/>
        </w:rPr>
        <w:t xml:space="preserve">Table </w:t>
      </w:r>
      <w:bookmarkStart w:id="181" w:name="prop-measles2"/>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42</w:t>
      </w:r>
      <w:r>
        <w:rPr>
          <w:b/>
        </w:rPr>
        <w:fldChar w:fldCharType="end"/>
      </w:r>
      <w:bookmarkEnd w:id="181"/>
      <w:r>
        <w:rPr>
          <w:b/>
        </w:rPr>
        <w:t xml:space="preserve">: </w:t>
      </w:r>
      <w:r>
        <w:t xml:space="preserve">Measles vaccination coverage for children aged 9-23 </w:t>
      </w:r>
      <w:proofErr w:type="gramStart"/>
      <w:r>
        <w:t>months</w:t>
      </w:r>
      <w:bookmarkEnd w:id="180"/>
      <w:proofErr w:type="gramEnd"/>
    </w:p>
    <w:tbl>
      <w:tblPr>
        <w:tblW w:w="0" w:type="auto"/>
        <w:jc w:val="center"/>
        <w:tblLayout w:type="fixed"/>
        <w:tblLook w:val="0420" w:firstRow="1" w:lastRow="0" w:firstColumn="0" w:lastColumn="0" w:noHBand="0" w:noVBand="1"/>
      </w:tblPr>
      <w:tblGrid>
        <w:gridCol w:w="432"/>
        <w:gridCol w:w="4608"/>
        <w:gridCol w:w="1080"/>
        <w:gridCol w:w="1224"/>
        <w:gridCol w:w="2016"/>
      </w:tblGrid>
      <w:tr w:rsidR="00BC28CE" w14:paraId="284D3A8D" w14:textId="77777777">
        <w:trPr>
          <w:tblHeader/>
          <w:jc w:val="center"/>
        </w:trPr>
        <w:tc>
          <w:tcPr>
            <w:tcW w:w="432"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C40E63A"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4608"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0CD0AD2" w14:textId="77777777" w:rsidR="00BC28CE" w:rsidRDefault="00BC28CE">
            <w:pPr>
              <w:pBdr>
                <w:top w:val="none" w:sz="0" w:space="0" w:color="000000"/>
                <w:left w:val="none" w:sz="0" w:space="0" w:color="000000"/>
                <w:bottom w:val="none" w:sz="0" w:space="0" w:color="000000"/>
                <w:right w:val="none" w:sz="0" w:space="0" w:color="000000"/>
              </w:pBdr>
              <w:spacing w:before="40" w:after="40"/>
              <w:ind w:left="40" w:right="40"/>
            </w:pP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5250CA1"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2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9625D5F"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201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DA4DA0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3566AD25" w14:textId="77777777">
        <w:trPr>
          <w:jc w:val="center"/>
        </w:trPr>
        <w:tc>
          <w:tcPr>
            <w:tcW w:w="5040" w:type="dxa"/>
            <w:gridSpan w:val="2"/>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35CBFE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w:t>
            </w:r>
          </w:p>
        </w:tc>
        <w:tc>
          <w:tcPr>
            <w:tcW w:w="1080"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DE7A9F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120</w:t>
            </w:r>
          </w:p>
        </w:tc>
        <w:tc>
          <w:tcPr>
            <w:tcW w:w="1224"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6B7021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91.6%</w:t>
            </w:r>
          </w:p>
        </w:tc>
        <w:tc>
          <w:tcPr>
            <w:tcW w:w="2016" w:type="dxa"/>
            <w:tcBorders>
              <w:top w:val="single" w:sz="12" w:space="0" w:color="666666"/>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7D444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(85.8%,</w:t>
            </w:r>
            <w:r>
              <w:rPr>
                <w:rFonts w:ascii="Arial" w:eastAsia="DejaVu Sans" w:hAnsi="DejaVu Sans" w:cs="DejaVu Sans"/>
                <w:color w:val="000000"/>
                <w:sz w:val="22"/>
                <w:szCs w:val="22"/>
              </w:rPr>
              <w:t> </w:t>
            </w:r>
            <w:r>
              <w:rPr>
                <w:rFonts w:ascii="Arial" w:eastAsia="DejaVu Sans" w:hAnsi="DejaVu Sans" w:cs="DejaVu Sans"/>
                <w:color w:val="000000"/>
                <w:sz w:val="22"/>
                <w:szCs w:val="22"/>
              </w:rPr>
              <w:t>95.2%)</w:t>
            </w:r>
          </w:p>
        </w:tc>
      </w:tr>
      <w:tr w:rsidR="00BC28CE" w14:paraId="1FCC1859"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0D30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1</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7FBDA4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card</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F16E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91</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187CA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69.5%</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741E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(59.6%,</w:t>
            </w:r>
            <w:r>
              <w:rPr>
                <w:rFonts w:ascii="Arial" w:eastAsia="DejaVu Sans" w:hAnsi="DejaVu Sans" w:cs="DejaVu Sans"/>
                <w:color w:val="000000"/>
                <w:sz w:val="22"/>
                <w:szCs w:val="22"/>
              </w:rPr>
              <w:t> </w:t>
            </w:r>
            <w:r>
              <w:rPr>
                <w:rFonts w:ascii="Arial" w:eastAsia="DejaVu Sans" w:hAnsi="DejaVu Sans" w:cs="DejaVu Sans"/>
                <w:color w:val="000000"/>
                <w:sz w:val="22"/>
                <w:szCs w:val="22"/>
              </w:rPr>
              <w:t>77.8%)</w:t>
            </w:r>
          </w:p>
        </w:tc>
      </w:tr>
      <w:tr w:rsidR="00BC28CE" w14:paraId="35E7B2FF" w14:textId="77777777">
        <w:trPr>
          <w:jc w:val="center"/>
        </w:trPr>
        <w:tc>
          <w:tcPr>
            <w:tcW w:w="432"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3CEC0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2</w:t>
            </w:r>
          </w:p>
        </w:tc>
        <w:tc>
          <w:tcPr>
            <w:tcW w:w="4608"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ABD6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Yes, recall</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5E07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w:t>
            </w:r>
          </w:p>
        </w:tc>
        <w:tc>
          <w:tcPr>
            <w:tcW w:w="12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6567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22.1%</w:t>
            </w:r>
          </w:p>
        </w:tc>
        <w:tc>
          <w:tcPr>
            <w:tcW w:w="201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4DE2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(14.8%,</w:t>
            </w:r>
            <w:r>
              <w:rPr>
                <w:rFonts w:ascii="Arial" w:eastAsia="DejaVu Sans" w:hAnsi="DejaVu Sans" w:cs="DejaVu Sans"/>
                <w:color w:val="000000"/>
                <w:sz w:val="22"/>
                <w:szCs w:val="22"/>
              </w:rPr>
              <w:t> </w:t>
            </w:r>
            <w:r>
              <w:rPr>
                <w:rFonts w:ascii="Arial" w:eastAsia="DejaVu Sans" w:hAnsi="DejaVu Sans" w:cs="DejaVu Sans"/>
                <w:color w:val="000000"/>
                <w:sz w:val="22"/>
                <w:szCs w:val="22"/>
              </w:rPr>
              <w:t>31.8%)</w:t>
            </w:r>
          </w:p>
        </w:tc>
      </w:tr>
      <w:tr w:rsidR="00BC28CE" w14:paraId="3D102C65" w14:textId="77777777">
        <w:trPr>
          <w:jc w:val="center"/>
        </w:trPr>
        <w:tc>
          <w:tcPr>
            <w:tcW w:w="5040" w:type="dxa"/>
            <w:gridSpan w:val="2"/>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14CAB9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w:t>
            </w:r>
          </w:p>
        </w:tc>
        <w:tc>
          <w:tcPr>
            <w:tcW w:w="1080"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4032AE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w:t>
            </w:r>
          </w:p>
        </w:tc>
        <w:tc>
          <w:tcPr>
            <w:tcW w:w="1224"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734C6A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8.4%</w:t>
            </w:r>
          </w:p>
        </w:tc>
        <w:tc>
          <w:tcPr>
            <w:tcW w:w="2016" w:type="dxa"/>
            <w:tcBorders>
              <w:top w:val="none" w:sz="0" w:space="0" w:color="000000"/>
              <w:left w:val="none" w:sz="0" w:space="0" w:color="000000"/>
              <w:bottom w:val="single" w:sz="8" w:space="0" w:color="000000"/>
              <w:right w:val="none" w:sz="0" w:space="0" w:color="000000"/>
            </w:tcBorders>
            <w:shd w:val="clear" w:color="auto" w:fill="ECC182"/>
            <w:tcMar>
              <w:top w:w="0" w:type="dxa"/>
              <w:left w:w="0" w:type="dxa"/>
              <w:bottom w:w="0" w:type="dxa"/>
              <w:right w:w="0" w:type="dxa"/>
            </w:tcMar>
            <w:vAlign w:val="center"/>
          </w:tcPr>
          <w:p w14:paraId="559B2C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(4.8%,</w:t>
            </w:r>
            <w:r>
              <w:rPr>
                <w:rFonts w:ascii="Arial" w:eastAsia="DejaVu Sans" w:hAnsi="DejaVu Sans" w:cs="DejaVu Sans"/>
                <w:color w:val="000000"/>
                <w:sz w:val="22"/>
                <w:szCs w:val="22"/>
              </w:rPr>
              <w:t> </w:t>
            </w:r>
            <w:r>
              <w:rPr>
                <w:rFonts w:ascii="Arial" w:eastAsia="DejaVu Sans" w:hAnsi="DejaVu Sans" w:cs="DejaVu Sans"/>
                <w:color w:val="000000"/>
                <w:sz w:val="22"/>
                <w:szCs w:val="22"/>
              </w:rPr>
              <w:t>14.2%)</w:t>
            </w:r>
          </w:p>
        </w:tc>
      </w:tr>
      <w:tr w:rsidR="00BC28CE" w14:paraId="4E0604C7" w14:textId="77777777">
        <w:trPr>
          <w:jc w:val="center"/>
        </w:trPr>
        <w:tc>
          <w:tcPr>
            <w:tcW w:w="432"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8401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right"/>
            </w:pPr>
            <w:r>
              <w:rPr>
                <w:rFonts w:ascii="Arial" w:eastAsia="DejaVu Sans" w:hAnsi="DejaVu Sans" w:cs="DejaVu Sans"/>
                <w:color w:val="D3D3D3"/>
                <w:sz w:val="22"/>
                <w:szCs w:val="22"/>
              </w:rPr>
              <w:t>3</w:t>
            </w:r>
          </w:p>
        </w:tc>
        <w:tc>
          <w:tcPr>
            <w:tcW w:w="4608"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385B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 or don't know</w:t>
            </w:r>
          </w:p>
        </w:tc>
        <w:tc>
          <w:tcPr>
            <w:tcW w:w="1080"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2250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w:t>
            </w:r>
          </w:p>
        </w:tc>
        <w:tc>
          <w:tcPr>
            <w:tcW w:w="12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7C9E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8.4%</w:t>
            </w:r>
          </w:p>
        </w:tc>
        <w:tc>
          <w:tcPr>
            <w:tcW w:w="201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ED50AA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(4.8%,</w:t>
            </w:r>
            <w:r>
              <w:rPr>
                <w:rFonts w:ascii="Arial" w:eastAsia="DejaVu Sans" w:hAnsi="DejaVu Sans" w:cs="DejaVu Sans"/>
                <w:color w:val="000000"/>
                <w:sz w:val="22"/>
                <w:szCs w:val="22"/>
              </w:rPr>
              <w:t> </w:t>
            </w:r>
            <w:r>
              <w:rPr>
                <w:rFonts w:ascii="Arial" w:eastAsia="DejaVu Sans" w:hAnsi="DejaVu Sans" w:cs="DejaVu Sans"/>
                <w:color w:val="000000"/>
                <w:sz w:val="22"/>
                <w:szCs w:val="22"/>
              </w:rPr>
              <w:t>14.2%)</w:t>
            </w:r>
          </w:p>
        </w:tc>
      </w:tr>
      <w:tr w:rsidR="00BC28CE" w14:paraId="0FEF69AB" w14:textId="77777777">
        <w:trPr>
          <w:jc w:val="center"/>
        </w:trPr>
        <w:tc>
          <w:tcPr>
            <w:tcW w:w="5040" w:type="dxa"/>
            <w:gridSpan w:val="2"/>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57F21F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b/>
                <w:color w:val="000000"/>
                <w:sz w:val="22"/>
                <w:szCs w:val="22"/>
              </w:rPr>
              <w:t>Total</w:t>
            </w:r>
          </w:p>
        </w:tc>
        <w:tc>
          <w:tcPr>
            <w:tcW w:w="1080"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7EC1CA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131</w:t>
            </w:r>
          </w:p>
        </w:tc>
        <w:tc>
          <w:tcPr>
            <w:tcW w:w="1224"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6B7A0D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100.0%</w:t>
            </w:r>
          </w:p>
        </w:tc>
        <w:tc>
          <w:tcPr>
            <w:tcW w:w="2016" w:type="dxa"/>
            <w:tcBorders>
              <w:top w:val="none" w:sz="0" w:space="0" w:color="000000"/>
              <w:left w:val="none" w:sz="0" w:space="0" w:color="000000"/>
              <w:bottom w:val="single" w:sz="12" w:space="0" w:color="666666"/>
              <w:right w:val="none" w:sz="0" w:space="0" w:color="000000"/>
            </w:tcBorders>
            <w:shd w:val="clear" w:color="auto" w:fill="BEBEBE"/>
            <w:tcMar>
              <w:top w:w="0" w:type="dxa"/>
              <w:left w:w="0" w:type="dxa"/>
              <w:bottom w:w="0" w:type="dxa"/>
              <w:right w:w="0" w:type="dxa"/>
            </w:tcMar>
            <w:vAlign w:val="center"/>
          </w:tcPr>
          <w:p w14:paraId="446FCB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b/>
                <w:color w:val="000000"/>
                <w:sz w:val="22"/>
                <w:szCs w:val="22"/>
              </w:rPr>
              <w:t>-</w:t>
            </w:r>
          </w:p>
        </w:tc>
      </w:tr>
    </w:tbl>
    <w:p w14:paraId="6EB5706D" w14:textId="0697948A" w:rsidR="00BC28CE" w:rsidRDefault="00BC28CE"/>
    <w:p w14:paraId="41A7055A" w14:textId="77777777" w:rsidR="00BC28CE" w:rsidRDefault="00000000">
      <w:pPr>
        <w:pStyle w:val="Heading5"/>
      </w:pPr>
      <w:bookmarkStart w:id="182" w:name="X87a2e41a3b2c3ff5ffb455606f1f758909eeb3a"/>
      <w:bookmarkEnd w:id="177"/>
      <w:r>
        <w:t>Morbidity results and health-seeking behaviour</w:t>
      </w:r>
    </w:p>
    <w:p w14:paraId="6BA406D5" w14:textId="24B0D049" w:rsidR="00AE6FA5" w:rsidRPr="00AE6FA5" w:rsidRDefault="00FA4A69" w:rsidP="00FA4A69">
      <w:pPr>
        <w:jc w:val="both"/>
      </w:pPr>
      <w:r w:rsidRPr="00FA4A69">
        <w:t>The prevalence of acute respiratory infection (ARI) symptoms, fever, and diarrhea among children aged 6-59 months in the two weeks preceding the survey was notable, with 5.8%, 36.4%, and 20.3% respectively reporting these symptoms. This marked increase from the previous year's rates of 8.6% for diarrhea and 9.4% for fever in 2023 indicates a concerning trend. Factors such as contaminated water sources and the destruction of sanitation facilities during floods could contribute to the higher prevalence of diarrhea and fever observed in 2024.</w:t>
      </w:r>
    </w:p>
    <w:p w14:paraId="3F851BFF"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83" w:name="_Toc161945752"/>
      <w:r>
        <w:rPr>
          <w:b/>
        </w:rPr>
        <w:lastRenderedPageBreak/>
        <w:t xml:space="preserve">Table </w:t>
      </w:r>
      <w:bookmarkStart w:id="184" w:name="prop-afd"/>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43</w:t>
      </w:r>
      <w:r>
        <w:rPr>
          <w:b/>
        </w:rPr>
        <w:fldChar w:fldCharType="end"/>
      </w:r>
      <w:bookmarkEnd w:id="184"/>
      <w:r>
        <w:rPr>
          <w:b/>
        </w:rPr>
        <w:t xml:space="preserve">: </w:t>
      </w:r>
      <w:r>
        <w:t xml:space="preserve">Prevalence of ARI symptoms, fever and diarrhoea in the two weeks preceding the survey for children aged 6-59 </w:t>
      </w:r>
      <w:proofErr w:type="gramStart"/>
      <w:r>
        <w:t>months</w:t>
      </w:r>
      <w:bookmarkEnd w:id="183"/>
      <w:proofErr w:type="gramEnd"/>
    </w:p>
    <w:tbl>
      <w:tblPr>
        <w:tblW w:w="4744" w:type="pct"/>
        <w:jc w:val="center"/>
        <w:tblLook w:val="0420" w:firstRow="1" w:lastRow="0" w:firstColumn="0" w:lastColumn="0" w:noHBand="0" w:noVBand="1"/>
      </w:tblPr>
      <w:tblGrid>
        <w:gridCol w:w="2867"/>
        <w:gridCol w:w="1057"/>
        <w:gridCol w:w="2061"/>
        <w:gridCol w:w="2896"/>
      </w:tblGrid>
      <w:tr w:rsidR="00BC28CE" w14:paraId="7D8A5522" w14:textId="77777777" w:rsidTr="0060184E">
        <w:trPr>
          <w:tblHeader/>
          <w:jc w:val="center"/>
        </w:trPr>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08FD85B"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96C0947"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0ACCA21"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FD3059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6D4BAF01" w14:textId="77777777" w:rsidTr="0060184E">
        <w:trPr>
          <w:jc w:val="center"/>
        </w:trPr>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EF0ED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ARI symptoms*</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C283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26</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493F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5.8%</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51AB9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(3.4%,</w:t>
            </w:r>
            <w:r>
              <w:rPr>
                <w:rFonts w:ascii="Arial" w:eastAsia="DejaVu Sans" w:hAnsi="DejaVu Sans" w:cs="DejaVu Sans"/>
                <w:color w:val="000000"/>
                <w:sz w:val="22"/>
                <w:szCs w:val="22"/>
              </w:rPr>
              <w:t> </w:t>
            </w:r>
            <w:r>
              <w:rPr>
                <w:rFonts w:ascii="Arial" w:eastAsia="DejaVu Sans" w:hAnsi="DejaVu Sans" w:cs="DejaVu Sans"/>
                <w:color w:val="000000"/>
                <w:sz w:val="22"/>
                <w:szCs w:val="22"/>
              </w:rPr>
              <w:t>9.6%)</w:t>
            </w:r>
          </w:p>
        </w:tc>
      </w:tr>
      <w:tr w:rsidR="00BC28CE" w14:paraId="1E786BE6" w14:textId="77777777" w:rsidTr="0060184E">
        <w:trPr>
          <w:jc w:val="center"/>
        </w:trPr>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B85A0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Fever</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5B6D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164</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E8089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36.4%</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3208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(29.5%,</w:t>
            </w:r>
            <w:r>
              <w:rPr>
                <w:rFonts w:ascii="Arial" w:eastAsia="DejaVu Sans" w:hAnsi="DejaVu Sans" w:cs="DejaVu Sans"/>
                <w:color w:val="000000"/>
                <w:sz w:val="22"/>
                <w:szCs w:val="22"/>
              </w:rPr>
              <w:t> </w:t>
            </w:r>
            <w:r>
              <w:rPr>
                <w:rFonts w:ascii="Arial" w:eastAsia="DejaVu Sans" w:hAnsi="DejaVu Sans" w:cs="DejaVu Sans"/>
                <w:color w:val="000000"/>
                <w:sz w:val="22"/>
                <w:szCs w:val="22"/>
              </w:rPr>
              <w:t>44.0%)</w:t>
            </w:r>
          </w:p>
        </w:tc>
      </w:tr>
      <w:tr w:rsidR="00BC28CE" w14:paraId="646A9F8A" w14:textId="77777777" w:rsidTr="0060184E">
        <w:trPr>
          <w:jc w:val="center"/>
        </w:trPr>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CD0174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Diarrhoea</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61A6F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91</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F3B8B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20.3%</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A6F21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(15.0%,</w:t>
            </w:r>
            <w:r>
              <w:rPr>
                <w:rFonts w:ascii="Arial" w:eastAsia="DejaVu Sans" w:hAnsi="DejaVu Sans" w:cs="DejaVu Sans"/>
                <w:color w:val="000000"/>
                <w:sz w:val="22"/>
                <w:szCs w:val="22"/>
              </w:rPr>
              <w:t> </w:t>
            </w:r>
            <w:r>
              <w:rPr>
                <w:rFonts w:ascii="Arial" w:eastAsia="DejaVu Sans" w:hAnsi="DejaVu Sans" w:cs="DejaVu Sans"/>
                <w:color w:val="000000"/>
                <w:sz w:val="22"/>
                <w:szCs w:val="22"/>
              </w:rPr>
              <w:t>26.8%)</w:t>
            </w:r>
          </w:p>
        </w:tc>
      </w:tr>
      <w:tr w:rsidR="00BC28CE" w14:paraId="23CB5E5E" w14:textId="77777777" w:rsidTr="0060184E">
        <w:trPr>
          <w:jc w:val="center"/>
        </w:trPr>
        <w:tc>
          <w:tcPr>
            <w:tcW w:w="0" w:type="auto"/>
            <w:gridSpan w:val="4"/>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697760D9"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Cough accompanied by short, rapid breathing which was chest related or with difficulty breathing which was chest related</w:t>
            </w:r>
          </w:p>
        </w:tc>
      </w:tr>
    </w:tbl>
    <w:p w14:paraId="4BF00773" w14:textId="7EE5D623" w:rsidR="00BC28CE" w:rsidRDefault="0060184E" w:rsidP="00A551C5">
      <w:pPr>
        <w:jc w:val="both"/>
      </w:pPr>
      <w:r w:rsidRPr="0060184E">
        <w:t>The utilization of oral rehydration solution (ORS) and zinc tablets or syrup during diarrheal episodes among children aged 6-59 months was relatively high, with 72.5% and 71.4% of caregivers reporting their use, respectively. Interestingly, the combined use of both ORS and zinc was also reported by 71.4% of caregivers. However, there was a slight decrease in the management of diarrhea with ORS and zinc from 2023, dropping from 73% to 71% and 76% to 73%, respectively. This decline is concerning, especially in the context of a high prevalence of diarrhea at 20.3%. Possible reasons for this decrease include the displacement of households to areas lacking access to health facilities and the scaled-down integrated outreach efforts in certain locations within the County</w:t>
      </w:r>
      <w:r>
        <w:t>.</w:t>
      </w:r>
    </w:p>
    <w:p w14:paraId="525AB5AC"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85" w:name="_Toc161945753"/>
      <w:r>
        <w:rPr>
          <w:b/>
        </w:rPr>
        <w:t xml:space="preserve">Table </w:t>
      </w:r>
      <w:bookmarkStart w:id="186" w:name="prop-orszinc"/>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44</w:t>
      </w:r>
      <w:r>
        <w:rPr>
          <w:b/>
        </w:rPr>
        <w:fldChar w:fldCharType="end"/>
      </w:r>
      <w:bookmarkEnd w:id="186"/>
      <w:r>
        <w:rPr>
          <w:b/>
        </w:rPr>
        <w:t xml:space="preserve">: </w:t>
      </w:r>
      <w:r>
        <w:t xml:space="preserve">ORS and zinc use during diarrhoea episode for children aged 6-59 </w:t>
      </w:r>
      <w:proofErr w:type="gramStart"/>
      <w:r>
        <w:t>months</w:t>
      </w:r>
      <w:bookmarkEnd w:id="185"/>
      <w:proofErr w:type="gramEnd"/>
    </w:p>
    <w:tbl>
      <w:tblPr>
        <w:tblW w:w="5000" w:type="pct"/>
        <w:jc w:val="center"/>
        <w:tblLook w:val="0420" w:firstRow="1" w:lastRow="0" w:firstColumn="0" w:lastColumn="0" w:noHBand="0" w:noVBand="1"/>
      </w:tblPr>
      <w:tblGrid>
        <w:gridCol w:w="5844"/>
        <w:gridCol w:w="618"/>
        <w:gridCol w:w="1205"/>
        <w:gridCol w:w="1693"/>
      </w:tblGrid>
      <w:tr w:rsidR="00BC28CE" w14:paraId="4766F3C5" w14:textId="77777777" w:rsidTr="00E222C1">
        <w:trPr>
          <w:tblHeader/>
          <w:jc w:val="center"/>
        </w:trPr>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CF85AB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EBD8A34"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86BD7D1"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C43281E"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1791324A" w14:textId="77777777" w:rsidTr="00E222C1">
        <w:trPr>
          <w:jc w:val="center"/>
        </w:trPr>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A2A37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ORS use during diarrhoea episode</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669A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66</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41DA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72.5%</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17383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(63.4%,</w:t>
            </w:r>
            <w:r>
              <w:rPr>
                <w:rFonts w:ascii="Arial" w:eastAsia="DejaVu Sans" w:hAnsi="DejaVu Sans" w:cs="DejaVu Sans"/>
                <w:color w:val="000000"/>
                <w:sz w:val="22"/>
                <w:szCs w:val="22"/>
              </w:rPr>
              <w:t> </w:t>
            </w:r>
            <w:r>
              <w:rPr>
                <w:rFonts w:ascii="Arial" w:eastAsia="DejaVu Sans" w:hAnsi="DejaVu Sans" w:cs="DejaVu Sans"/>
                <w:color w:val="000000"/>
                <w:sz w:val="22"/>
                <w:szCs w:val="22"/>
              </w:rPr>
              <w:t>80.1%)</w:t>
            </w:r>
          </w:p>
        </w:tc>
      </w:tr>
      <w:tr w:rsidR="00BC28CE" w14:paraId="05B97F77" w14:textId="77777777" w:rsidTr="00E222C1">
        <w:trPr>
          <w:jc w:val="center"/>
        </w:trPr>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4311C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Zinc tablet or syrup use during diarrhoea episode</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0EEC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65</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8AE4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71.4%</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5F01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(61.2%,</w:t>
            </w:r>
            <w:r>
              <w:rPr>
                <w:rFonts w:ascii="Arial" w:eastAsia="DejaVu Sans" w:hAnsi="DejaVu Sans" w:cs="DejaVu Sans"/>
                <w:color w:val="000000"/>
                <w:sz w:val="22"/>
                <w:szCs w:val="22"/>
              </w:rPr>
              <w:t> </w:t>
            </w:r>
            <w:r>
              <w:rPr>
                <w:rFonts w:ascii="Arial" w:eastAsia="DejaVu Sans" w:hAnsi="DejaVu Sans" w:cs="DejaVu Sans"/>
                <w:color w:val="000000"/>
                <w:sz w:val="22"/>
                <w:szCs w:val="22"/>
              </w:rPr>
              <w:t>79.8%)</w:t>
            </w:r>
          </w:p>
        </w:tc>
      </w:tr>
      <w:tr w:rsidR="00BC28CE" w14:paraId="2DFABD68" w14:textId="77777777" w:rsidTr="00E222C1">
        <w:trPr>
          <w:jc w:val="center"/>
        </w:trPr>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85B9C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ORS and zinc tablet or syrup use during diarrhoea episode</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D9DEA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65</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E2818A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71.4%</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345F5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(61.2%,</w:t>
            </w:r>
            <w:r>
              <w:rPr>
                <w:rFonts w:ascii="Arial" w:eastAsia="DejaVu Sans" w:hAnsi="DejaVu Sans" w:cs="DejaVu Sans"/>
                <w:color w:val="000000"/>
                <w:sz w:val="22"/>
                <w:szCs w:val="22"/>
              </w:rPr>
              <w:t> </w:t>
            </w:r>
            <w:r>
              <w:rPr>
                <w:rFonts w:ascii="Arial" w:eastAsia="DejaVu Sans" w:hAnsi="DejaVu Sans" w:cs="DejaVu Sans"/>
                <w:color w:val="000000"/>
                <w:sz w:val="22"/>
                <w:szCs w:val="22"/>
              </w:rPr>
              <w:t>79.8%)</w:t>
            </w:r>
          </w:p>
        </w:tc>
      </w:tr>
    </w:tbl>
    <w:p w14:paraId="0741181A" w14:textId="02555152" w:rsidR="00BC28CE" w:rsidRDefault="00E222C1" w:rsidP="00E222C1">
      <w:pPr>
        <w:jc w:val="both"/>
      </w:pPr>
      <w:r w:rsidRPr="00E222C1">
        <w:t>Health seeking behavior for children aged 6-59 months exhibiting symptoms of acute respiratory infections (ARI), fever, and diarrhea remained robust, with more than 80% of caregivers seeking advice or treatment from a</w:t>
      </w:r>
      <w:r>
        <w:t>n</w:t>
      </w:r>
      <w:r w:rsidRPr="00E222C1">
        <w:t xml:space="preserve"> appropriate health facility or provider. Specifically, 92.3% of children with ARI symptoms, 82.9% with fever, and 81.3% with diarrhea received attention from healthcare services. This indicates a positive trend in addressing childhood illnesses promptly and appropriately. </w:t>
      </w:r>
      <w:r w:rsidR="00000000">
        <w:br/>
      </w:r>
    </w:p>
    <w:p w14:paraId="67465557"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87" w:name="_Toc161945754"/>
      <w:r>
        <w:rPr>
          <w:b/>
        </w:rPr>
        <w:t xml:space="preserve">Table </w:t>
      </w:r>
      <w:bookmarkStart w:id="188" w:name="prop-csb"/>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45</w:t>
      </w:r>
      <w:r>
        <w:rPr>
          <w:b/>
        </w:rPr>
        <w:fldChar w:fldCharType="end"/>
      </w:r>
      <w:bookmarkEnd w:id="188"/>
      <w:r>
        <w:rPr>
          <w:b/>
        </w:rPr>
        <w:t xml:space="preserve">: </w:t>
      </w:r>
      <w:r>
        <w:t xml:space="preserve">Treatment for ARI symptoms, fever and diarrhoea for children aged 6-59 </w:t>
      </w:r>
      <w:proofErr w:type="gramStart"/>
      <w:r>
        <w:t>months</w:t>
      </w:r>
      <w:bookmarkEnd w:id="187"/>
      <w:proofErr w:type="gramEnd"/>
    </w:p>
    <w:tbl>
      <w:tblPr>
        <w:tblW w:w="0" w:type="pct"/>
        <w:jc w:val="center"/>
        <w:tblLook w:val="0420" w:firstRow="1" w:lastRow="0" w:firstColumn="0" w:lastColumn="0" w:noHBand="0" w:noVBand="1"/>
      </w:tblPr>
      <w:tblGrid>
        <w:gridCol w:w="4201"/>
        <w:gridCol w:w="907"/>
        <w:gridCol w:w="1768"/>
        <w:gridCol w:w="2484"/>
      </w:tblGrid>
      <w:tr w:rsidR="00BC28CE" w14:paraId="38DB9AF8" w14:textId="77777777">
        <w:trPr>
          <w:tblHeader/>
          <w:jc w:val="center"/>
        </w:trPr>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044D7C7"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C16B9B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EDFAC2C"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0" w:type="auto"/>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5DCF62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46E0DA84" w14:textId="77777777">
        <w:trPr>
          <w:jc w:val="center"/>
        </w:trPr>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D4F87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Children with symptoms of ARI</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4D5F1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24</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74628C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92.3%</w:t>
            </w:r>
          </w:p>
        </w:tc>
        <w:tc>
          <w:tcPr>
            <w:tcW w:w="0" w:type="auto"/>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99868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(72.2%,</w:t>
            </w:r>
            <w:r>
              <w:rPr>
                <w:rFonts w:ascii="Arial" w:eastAsia="DejaVu Sans" w:hAnsi="DejaVu Sans" w:cs="DejaVu Sans"/>
                <w:color w:val="000000"/>
                <w:sz w:val="22"/>
                <w:szCs w:val="22"/>
              </w:rPr>
              <w:t> </w:t>
            </w:r>
            <w:r>
              <w:rPr>
                <w:rFonts w:ascii="Arial" w:eastAsia="DejaVu Sans" w:hAnsi="DejaVu Sans" w:cs="DejaVu Sans"/>
                <w:color w:val="000000"/>
                <w:sz w:val="22"/>
                <w:szCs w:val="22"/>
              </w:rPr>
              <w:t>98.2%)</w:t>
            </w:r>
          </w:p>
        </w:tc>
      </w:tr>
      <w:tr w:rsidR="00BC28CE" w14:paraId="06A3005B" w14:textId="77777777">
        <w:trPr>
          <w:jc w:val="center"/>
        </w:trPr>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2BC9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Children with fever</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EA95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136</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7AB2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82.9%</w:t>
            </w:r>
          </w:p>
        </w:tc>
        <w:tc>
          <w:tcPr>
            <w:tcW w:w="0" w:type="auto"/>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2A4B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(72.5%,</w:t>
            </w:r>
            <w:r>
              <w:rPr>
                <w:rFonts w:ascii="Arial" w:eastAsia="DejaVu Sans" w:hAnsi="DejaVu Sans" w:cs="DejaVu Sans"/>
                <w:color w:val="000000"/>
                <w:sz w:val="22"/>
                <w:szCs w:val="22"/>
              </w:rPr>
              <w:t> </w:t>
            </w:r>
            <w:r>
              <w:rPr>
                <w:rFonts w:ascii="Arial" w:eastAsia="DejaVu Sans" w:hAnsi="DejaVu Sans" w:cs="DejaVu Sans"/>
                <w:color w:val="000000"/>
                <w:sz w:val="22"/>
                <w:szCs w:val="22"/>
              </w:rPr>
              <w:t>89.9%)</w:t>
            </w:r>
          </w:p>
        </w:tc>
      </w:tr>
      <w:tr w:rsidR="00BC28CE" w14:paraId="1C0D0B92" w14:textId="77777777">
        <w:trPr>
          <w:jc w:val="center"/>
        </w:trPr>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65159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Children with diarrhoea</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9DED28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74</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43F5B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81.3%</w:t>
            </w:r>
          </w:p>
        </w:tc>
        <w:tc>
          <w:tcPr>
            <w:tcW w:w="0" w:type="auto"/>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D9DDB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(72.9%,</w:t>
            </w:r>
            <w:r>
              <w:rPr>
                <w:rFonts w:ascii="Arial" w:eastAsia="DejaVu Sans" w:hAnsi="DejaVu Sans" w:cs="DejaVu Sans"/>
                <w:color w:val="000000"/>
                <w:sz w:val="22"/>
                <w:szCs w:val="22"/>
              </w:rPr>
              <w:t> </w:t>
            </w:r>
            <w:r>
              <w:rPr>
                <w:rFonts w:ascii="Arial" w:eastAsia="DejaVu Sans" w:hAnsi="DejaVu Sans" w:cs="DejaVu Sans"/>
                <w:color w:val="000000"/>
                <w:sz w:val="22"/>
                <w:szCs w:val="22"/>
              </w:rPr>
              <w:t>87.6%)</w:t>
            </w:r>
          </w:p>
        </w:tc>
      </w:tr>
      <w:tr w:rsidR="00BC28CE" w14:paraId="7655517E" w14:textId="77777777">
        <w:trPr>
          <w:jc w:val="center"/>
        </w:trPr>
        <w:tc>
          <w:tcPr>
            <w:tcW w:w="0" w:type="auto"/>
            <w:gridSpan w:val="4"/>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3B819C48"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i/>
                <w:color w:val="000000"/>
                <w:sz w:val="16"/>
                <w:szCs w:val="16"/>
              </w:rPr>
              <w:t xml:space="preserve">* Prevalences relate to whether advice or treatment was sought from a health facility/provider (excludes pharmacy, </w:t>
            </w:r>
            <w:proofErr w:type="gramStart"/>
            <w:r>
              <w:rPr>
                <w:rFonts w:ascii="Arial" w:eastAsia="DejaVu Sans" w:hAnsi="DejaVu Sans" w:cs="DejaVu Sans"/>
                <w:i/>
                <w:color w:val="000000"/>
                <w:sz w:val="16"/>
                <w:szCs w:val="16"/>
              </w:rPr>
              <w:t>shop</w:t>
            </w:r>
            <w:proofErr w:type="gramEnd"/>
            <w:r>
              <w:rPr>
                <w:rFonts w:ascii="Arial" w:eastAsia="DejaVu Sans" w:hAnsi="DejaVu Sans" w:cs="DejaVu Sans"/>
                <w:i/>
                <w:color w:val="000000"/>
                <w:sz w:val="16"/>
                <w:szCs w:val="16"/>
              </w:rPr>
              <w:t xml:space="preserve"> and traditional practitioners)</w:t>
            </w:r>
          </w:p>
        </w:tc>
      </w:tr>
    </w:tbl>
    <w:p w14:paraId="422438B9" w14:textId="77777777" w:rsidR="00BC28CE" w:rsidRDefault="00000000">
      <w:r>
        <w:lastRenderedPageBreak/>
        <w:br/>
      </w:r>
    </w:p>
    <w:p w14:paraId="02A0E50E" w14:textId="77777777" w:rsidR="00BC28CE" w:rsidRDefault="00000000">
      <w:pPr>
        <w:pStyle w:val="Heading4"/>
      </w:pPr>
      <w:bookmarkStart w:id="189" w:name="X00d9971adfe2defcadbffc219ed2750aa33309b"/>
      <w:bookmarkEnd w:id="170"/>
      <w:bookmarkEnd w:id="182"/>
      <w:r>
        <w:t>Infant and Young Child Feeding (IYCF) Practices</w:t>
      </w:r>
    </w:p>
    <w:p w14:paraId="7F2701D5" w14:textId="3A10528D" w:rsidR="003867F2" w:rsidRPr="003867F2" w:rsidRDefault="003867F2" w:rsidP="003867F2">
      <w:pPr>
        <w:jc w:val="both"/>
      </w:pPr>
      <w:r w:rsidRPr="003867F2">
        <w:t xml:space="preserve">Infant and Young Child Feeding (IYCF) practices play a crucial role in shaping the health, development, and nutritional status of children under two years old, thereby influencing their overall well-being and survival. The survey conducted on IYCF practices focused on children aged 0-23 months within the sampled households. It revealed several key indicators of breastfeeding and complementary feeding practices. </w:t>
      </w:r>
      <w:r w:rsidRPr="003867F2">
        <w:t>Most</w:t>
      </w:r>
      <w:r w:rsidRPr="003867F2">
        <w:t xml:space="preserve"> children, 97.1%, were breastfed at some point, demonstrating high rates of breastfeeding initiation. However, early initiation of breastfeeding within the first hour after birth was reported in 69.8% of cases, falling short of the optimal target. Similarly, exclusive breastfeeding for the first two days after birth was observed in 77.3% of cases. Among infants aged 0-5 months, 80.0% were exclusively breastfed, while 12.0% received mixed milk feeding. Furthermore, continued breastfeeding among children aged 12-23 months was prevalent at 72.7%. In terms of complementary feeding, the introduction of solid, semi-solid, or soft foods among children aged 6-8 months was reported in 68.8% of cases. </w:t>
      </w:r>
      <w:r w:rsidR="00E5329F" w:rsidRPr="00E5329F">
        <w:t>However, achieving an acceptable diet remained challenging, with only 13.6% of children meeting the criteria for a minimum acceptable diet.</w:t>
      </w:r>
      <w:r w:rsidRPr="003867F2">
        <w:t xml:space="preserve"> Additionally, unhealthy dietary practices, such as sweet beverage consumption (40.8%) and zero vegetable or fruit consumption (42.2%), were prevalent among children aged 6-23 months.</w:t>
      </w:r>
      <w:r w:rsidR="00E5329F">
        <w:t xml:space="preserve"> </w:t>
      </w:r>
      <w:r w:rsidRPr="003867F2">
        <w:t>It</w:t>
      </w:r>
      <w:r w:rsidR="00E5329F">
        <w:t xml:space="preserve"> is</w:t>
      </w:r>
      <w:r w:rsidRPr="003867F2">
        <w:t xml:space="preserve"> essential to interpret these results cautiously, considering the limitations in sample size, and use them as proxy indicators to guide future programming and assessments in IYCF.</w:t>
      </w:r>
    </w:p>
    <w:p w14:paraId="5B15043D" w14:textId="77777777" w:rsidR="003867F2" w:rsidRPr="003867F2" w:rsidRDefault="003867F2" w:rsidP="003867F2"/>
    <w:p w14:paraId="71800760"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90" w:name="_Toc161945755"/>
      <w:r>
        <w:rPr>
          <w:b/>
        </w:rPr>
        <w:t xml:space="preserve">Table </w:t>
      </w:r>
      <w:bookmarkStart w:id="191" w:name="prop-iycf"/>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46</w:t>
      </w:r>
      <w:r>
        <w:rPr>
          <w:b/>
        </w:rPr>
        <w:fldChar w:fldCharType="end"/>
      </w:r>
      <w:bookmarkEnd w:id="191"/>
      <w:r>
        <w:rPr>
          <w:b/>
        </w:rPr>
        <w:t xml:space="preserve">: </w:t>
      </w:r>
      <w:r>
        <w:t>Prevalence of Infant and Young Child Feeding Practices Indicators</w:t>
      </w:r>
      <w:bookmarkEnd w:id="190"/>
    </w:p>
    <w:tbl>
      <w:tblPr>
        <w:tblW w:w="0" w:type="auto"/>
        <w:jc w:val="center"/>
        <w:tblLayout w:type="fixed"/>
        <w:tblLook w:val="0420" w:firstRow="1" w:lastRow="0" w:firstColumn="0" w:lastColumn="0" w:noHBand="0" w:noVBand="1"/>
      </w:tblPr>
      <w:tblGrid>
        <w:gridCol w:w="3240"/>
        <w:gridCol w:w="1800"/>
        <w:gridCol w:w="1080"/>
        <w:gridCol w:w="1440"/>
        <w:gridCol w:w="1800"/>
      </w:tblGrid>
      <w:tr w:rsidR="00BC28CE" w14:paraId="29AB45B2" w14:textId="77777777">
        <w:trPr>
          <w:tblHeader/>
          <w:jc w:val="center"/>
        </w:trPr>
        <w:tc>
          <w:tcPr>
            <w:tcW w:w="324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7A7DE0B"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bookmarkStart w:id="192" w:name="_Hlk162205268"/>
            <w:r>
              <w:rPr>
                <w:rFonts w:ascii="Arial" w:eastAsia="DejaVu Sans" w:hAnsi="DejaVu Sans" w:cs="DejaVu Sans"/>
                <w:b/>
                <w:color w:val="FFFFFF"/>
                <w:sz w:val="22"/>
                <w:szCs w:val="22"/>
              </w:rPr>
              <w:t>Indicator</w:t>
            </w:r>
          </w:p>
        </w:tc>
        <w:tc>
          <w:tcPr>
            <w:tcW w:w="180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DFE399D"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Age range</w:t>
            </w:r>
          </w:p>
        </w:tc>
        <w:tc>
          <w:tcPr>
            <w:tcW w:w="108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CF53245"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144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5967308"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180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7C7DE6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7943131F" w14:textId="77777777">
        <w:trPr>
          <w:jc w:val="center"/>
        </w:trPr>
        <w:tc>
          <w:tcPr>
            <w:tcW w:w="9360" w:type="dxa"/>
            <w:gridSpan w:val="5"/>
            <w:tcBorders>
              <w:top w:val="single" w:sz="12" w:space="0" w:color="666666"/>
              <w:left w:val="none" w:sz="0" w:space="0" w:color="000000"/>
              <w:bottom w:val="none" w:sz="0" w:space="0" w:color="000000"/>
              <w:right w:val="none" w:sz="0" w:space="0" w:color="000000"/>
            </w:tcBorders>
            <w:shd w:val="clear" w:color="auto" w:fill="ECC182"/>
            <w:tcMar>
              <w:top w:w="0" w:type="dxa"/>
              <w:left w:w="0" w:type="dxa"/>
              <w:bottom w:w="0" w:type="dxa"/>
              <w:right w:w="0" w:type="dxa"/>
            </w:tcMar>
            <w:vAlign w:val="center"/>
          </w:tcPr>
          <w:p w14:paraId="2A9D8D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Breastfeeding Indicators</w:t>
            </w:r>
          </w:p>
        </w:tc>
      </w:tr>
      <w:tr w:rsidR="00BC28CE" w14:paraId="0A6B63D2"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D417D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Ever breastfed</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4665D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225B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167</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24D2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97.1%</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9ADF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(92.1%,</w:t>
            </w:r>
            <w:r>
              <w:rPr>
                <w:rFonts w:ascii="Arial" w:eastAsia="DejaVu Sans" w:hAnsi="DejaVu Sans" w:cs="DejaVu Sans"/>
                <w:color w:val="000000"/>
                <w:sz w:val="22"/>
                <w:szCs w:val="22"/>
              </w:rPr>
              <w:t> </w:t>
            </w:r>
            <w:r>
              <w:rPr>
                <w:rFonts w:ascii="Arial" w:eastAsia="DejaVu Sans" w:hAnsi="DejaVu Sans" w:cs="DejaVu Sans"/>
                <w:color w:val="000000"/>
                <w:sz w:val="22"/>
                <w:szCs w:val="22"/>
              </w:rPr>
              <w:t>99.0%)</w:t>
            </w:r>
          </w:p>
        </w:tc>
      </w:tr>
      <w:tr w:rsidR="00BC28CE" w14:paraId="21117C7C"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E112F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Early Initiation</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9A11D2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E862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120</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20909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69.8%</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CD46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(59.1%,</w:t>
            </w:r>
            <w:r>
              <w:rPr>
                <w:rFonts w:ascii="Arial" w:eastAsia="DejaVu Sans" w:hAnsi="DejaVu Sans" w:cs="DejaVu Sans"/>
                <w:color w:val="000000"/>
                <w:sz w:val="22"/>
                <w:szCs w:val="22"/>
              </w:rPr>
              <w:t> </w:t>
            </w:r>
            <w:r>
              <w:rPr>
                <w:rFonts w:ascii="Arial" w:eastAsia="DejaVu Sans" w:hAnsi="DejaVu Sans" w:cs="DejaVu Sans"/>
                <w:color w:val="000000"/>
                <w:sz w:val="22"/>
                <w:szCs w:val="22"/>
              </w:rPr>
              <w:t>78.6%)</w:t>
            </w:r>
          </w:p>
        </w:tc>
      </w:tr>
      <w:tr w:rsidR="00BC28CE" w14:paraId="230A80F8"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E16F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Exclusively breastfed for the first 2 days after birth</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907B0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CC3C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133</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C293C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77.3%</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002E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(66.9%,</w:t>
            </w:r>
            <w:r>
              <w:rPr>
                <w:rFonts w:ascii="Arial" w:eastAsia="DejaVu Sans" w:hAnsi="DejaVu Sans" w:cs="DejaVu Sans"/>
                <w:color w:val="000000"/>
                <w:sz w:val="22"/>
                <w:szCs w:val="22"/>
              </w:rPr>
              <w:t> </w:t>
            </w:r>
            <w:r>
              <w:rPr>
                <w:rFonts w:ascii="Arial" w:eastAsia="DejaVu Sans" w:hAnsi="DejaVu Sans" w:cs="DejaVu Sans"/>
                <w:color w:val="000000"/>
                <w:sz w:val="22"/>
                <w:szCs w:val="22"/>
              </w:rPr>
              <w:t>85.2%)</w:t>
            </w:r>
          </w:p>
        </w:tc>
      </w:tr>
      <w:tr w:rsidR="00BC28CE" w14:paraId="6614AFFC"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0260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Exclusive breastfeeding under 6 months</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2E37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0-5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30CDE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20</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FCBC6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80.0%</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850B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(56.6%,</w:t>
            </w:r>
            <w:r>
              <w:rPr>
                <w:rFonts w:ascii="Arial" w:eastAsia="DejaVu Sans" w:hAnsi="DejaVu Sans" w:cs="DejaVu Sans"/>
                <w:color w:val="000000"/>
                <w:sz w:val="22"/>
                <w:szCs w:val="22"/>
              </w:rPr>
              <w:t> </w:t>
            </w:r>
            <w:r>
              <w:rPr>
                <w:rFonts w:ascii="Arial" w:eastAsia="DejaVu Sans" w:hAnsi="DejaVu Sans" w:cs="DejaVu Sans"/>
                <w:color w:val="000000"/>
                <w:sz w:val="22"/>
                <w:szCs w:val="22"/>
              </w:rPr>
              <w:t>92.5%)</w:t>
            </w:r>
          </w:p>
        </w:tc>
      </w:tr>
      <w:tr w:rsidR="00BC28CE" w14:paraId="32942874"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2B050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Mixed milk feeding under 6 months</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16DFC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0-5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93525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3</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CBDD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12.0%</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AEF1F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(4.1%,</w:t>
            </w:r>
            <w:r>
              <w:rPr>
                <w:rFonts w:ascii="Arial" w:eastAsia="DejaVu Sans" w:hAnsi="DejaVu Sans" w:cs="DejaVu Sans"/>
                <w:color w:val="000000"/>
                <w:sz w:val="22"/>
                <w:szCs w:val="22"/>
              </w:rPr>
              <w:t> </w:t>
            </w:r>
            <w:r>
              <w:rPr>
                <w:rFonts w:ascii="Arial" w:eastAsia="DejaVu Sans" w:hAnsi="DejaVu Sans" w:cs="DejaVu Sans"/>
                <w:color w:val="000000"/>
                <w:sz w:val="22"/>
                <w:szCs w:val="22"/>
              </w:rPr>
              <w:t>30.3%)</w:t>
            </w:r>
          </w:p>
        </w:tc>
      </w:tr>
      <w:tr w:rsidR="00BC28CE" w14:paraId="5FE8DD28"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E0BD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Continued breastfeeding</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E270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12-23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FC3A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72</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C6BA6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72.7%</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F090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(62.9%,</w:t>
            </w:r>
            <w:r>
              <w:rPr>
                <w:rFonts w:ascii="Arial" w:eastAsia="DejaVu Sans" w:hAnsi="DejaVu Sans" w:cs="DejaVu Sans"/>
                <w:color w:val="000000"/>
                <w:sz w:val="22"/>
                <w:szCs w:val="22"/>
              </w:rPr>
              <w:t> </w:t>
            </w:r>
            <w:r>
              <w:rPr>
                <w:rFonts w:ascii="Arial" w:eastAsia="DejaVu Sans" w:hAnsi="DejaVu Sans" w:cs="DejaVu Sans"/>
                <w:color w:val="000000"/>
                <w:sz w:val="22"/>
                <w:szCs w:val="22"/>
              </w:rPr>
              <w:t>80.8%)</w:t>
            </w:r>
          </w:p>
        </w:tc>
      </w:tr>
      <w:tr w:rsidR="00BC28CE" w14:paraId="59CB4221" w14:textId="77777777">
        <w:trPr>
          <w:jc w:val="center"/>
        </w:trPr>
        <w:tc>
          <w:tcPr>
            <w:tcW w:w="9360" w:type="dxa"/>
            <w:gridSpan w:val="5"/>
            <w:tcBorders>
              <w:top w:val="none" w:sz="0" w:space="0" w:color="000000"/>
              <w:left w:val="none" w:sz="0" w:space="0" w:color="000000"/>
              <w:bottom w:val="none" w:sz="0" w:space="0" w:color="000000"/>
              <w:right w:val="none" w:sz="0" w:space="0" w:color="000000"/>
            </w:tcBorders>
            <w:shd w:val="clear" w:color="auto" w:fill="ECC182"/>
            <w:tcMar>
              <w:top w:w="0" w:type="dxa"/>
              <w:left w:w="0" w:type="dxa"/>
              <w:bottom w:w="0" w:type="dxa"/>
              <w:right w:w="0" w:type="dxa"/>
            </w:tcMar>
            <w:vAlign w:val="center"/>
          </w:tcPr>
          <w:p w14:paraId="037926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Complementary Feeding Indicators</w:t>
            </w:r>
          </w:p>
        </w:tc>
      </w:tr>
      <w:tr w:rsidR="00BC28CE" w14:paraId="70F583D0"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B4D7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Introduction of solid, semi-solid or soft foods</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C808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6-8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00AA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11</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289E9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68.8%</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CC055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(38.4%,</w:t>
            </w:r>
            <w:r>
              <w:rPr>
                <w:rFonts w:ascii="Arial" w:eastAsia="DejaVu Sans" w:hAnsi="DejaVu Sans" w:cs="DejaVu Sans"/>
                <w:color w:val="000000"/>
                <w:sz w:val="22"/>
                <w:szCs w:val="22"/>
              </w:rPr>
              <w:t> </w:t>
            </w:r>
            <w:r>
              <w:rPr>
                <w:rFonts w:ascii="Arial" w:eastAsia="DejaVu Sans" w:hAnsi="DejaVu Sans" w:cs="DejaVu Sans"/>
                <w:color w:val="000000"/>
                <w:sz w:val="22"/>
                <w:szCs w:val="22"/>
              </w:rPr>
              <w:t>88.6%)</w:t>
            </w:r>
          </w:p>
        </w:tc>
      </w:tr>
      <w:tr w:rsidR="00BC28CE" w14:paraId="6CADFA81"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5CEBF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Minimum dietary diversity</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782F1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745E1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57</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4AE9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38.8%</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E06C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(29.0%,</w:t>
            </w:r>
            <w:r>
              <w:rPr>
                <w:rFonts w:ascii="Arial" w:eastAsia="DejaVu Sans" w:hAnsi="DejaVu Sans" w:cs="DejaVu Sans"/>
                <w:color w:val="000000"/>
                <w:sz w:val="22"/>
                <w:szCs w:val="22"/>
              </w:rPr>
              <w:t> </w:t>
            </w:r>
            <w:r>
              <w:rPr>
                <w:rFonts w:ascii="Arial" w:eastAsia="DejaVu Sans" w:hAnsi="DejaVu Sans" w:cs="DejaVu Sans"/>
                <w:color w:val="000000"/>
                <w:sz w:val="22"/>
                <w:szCs w:val="22"/>
              </w:rPr>
              <w:t>49.5%)</w:t>
            </w:r>
          </w:p>
        </w:tc>
      </w:tr>
      <w:tr w:rsidR="00BC28CE" w14:paraId="69E16E19"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7008A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lastRenderedPageBreak/>
              <w:t>Minimum meal frequency</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087D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C0B67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48</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257E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32.7%</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72CA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(24.7%,</w:t>
            </w:r>
            <w:r>
              <w:rPr>
                <w:rFonts w:ascii="Arial" w:eastAsia="DejaVu Sans" w:hAnsi="DejaVu Sans" w:cs="DejaVu Sans"/>
                <w:color w:val="000000"/>
                <w:sz w:val="22"/>
                <w:szCs w:val="22"/>
              </w:rPr>
              <w:t> </w:t>
            </w:r>
            <w:r>
              <w:rPr>
                <w:rFonts w:ascii="Arial" w:eastAsia="DejaVu Sans" w:hAnsi="DejaVu Sans" w:cs="DejaVu Sans"/>
                <w:color w:val="000000"/>
                <w:sz w:val="22"/>
                <w:szCs w:val="22"/>
              </w:rPr>
              <w:t>41.8%)</w:t>
            </w:r>
          </w:p>
        </w:tc>
      </w:tr>
      <w:tr w:rsidR="00BC28CE" w14:paraId="76A8FD6B"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849A5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Minimum milk feeding frequency for non-breastfed children</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C5B1E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B217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15</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3763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46.9%</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DF54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(29.1%,</w:t>
            </w:r>
            <w:r>
              <w:rPr>
                <w:rFonts w:ascii="Arial" w:eastAsia="DejaVu Sans" w:hAnsi="DejaVu Sans" w:cs="DejaVu Sans"/>
                <w:color w:val="000000"/>
                <w:sz w:val="22"/>
                <w:szCs w:val="22"/>
              </w:rPr>
              <w:t> </w:t>
            </w:r>
            <w:r>
              <w:rPr>
                <w:rFonts w:ascii="Arial" w:eastAsia="DejaVu Sans" w:hAnsi="DejaVu Sans" w:cs="DejaVu Sans"/>
                <w:color w:val="000000"/>
                <w:sz w:val="22"/>
                <w:szCs w:val="22"/>
              </w:rPr>
              <w:t>65.5%)</w:t>
            </w:r>
          </w:p>
        </w:tc>
      </w:tr>
      <w:tr w:rsidR="00BC28CE" w14:paraId="51286202"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0EEB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Minimum acceptable diet</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3725F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5D0F2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20</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E3466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13.6%</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118B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(8.2%,</w:t>
            </w:r>
            <w:r>
              <w:rPr>
                <w:rFonts w:ascii="Arial" w:eastAsia="DejaVu Sans" w:hAnsi="DejaVu Sans" w:cs="DejaVu Sans"/>
                <w:color w:val="000000"/>
                <w:sz w:val="22"/>
                <w:szCs w:val="22"/>
              </w:rPr>
              <w:t> </w:t>
            </w:r>
            <w:r>
              <w:rPr>
                <w:rFonts w:ascii="Arial" w:eastAsia="DejaVu Sans" w:hAnsi="DejaVu Sans" w:cs="DejaVu Sans"/>
                <w:color w:val="000000"/>
                <w:sz w:val="22"/>
                <w:szCs w:val="22"/>
              </w:rPr>
              <w:t>21.8%)</w:t>
            </w:r>
          </w:p>
        </w:tc>
      </w:tr>
      <w:tr w:rsidR="00BC28CE" w14:paraId="027770C4"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544D1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Egg and/or flesh food consumption</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C2E8E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12684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34</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DBD04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23.1%</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7083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(15.0%,</w:t>
            </w:r>
            <w:r>
              <w:rPr>
                <w:rFonts w:ascii="Arial" w:eastAsia="DejaVu Sans" w:hAnsi="DejaVu Sans" w:cs="DejaVu Sans"/>
                <w:color w:val="000000"/>
                <w:sz w:val="22"/>
                <w:szCs w:val="22"/>
              </w:rPr>
              <w:t> </w:t>
            </w:r>
            <w:r>
              <w:rPr>
                <w:rFonts w:ascii="Arial" w:eastAsia="DejaVu Sans" w:hAnsi="DejaVu Sans" w:cs="DejaVu Sans"/>
                <w:color w:val="000000"/>
                <w:sz w:val="22"/>
                <w:szCs w:val="22"/>
              </w:rPr>
              <w:t>33.8%)</w:t>
            </w:r>
          </w:p>
        </w:tc>
      </w:tr>
      <w:tr w:rsidR="00BC28CE" w14:paraId="5859F44A"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2DD3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Sweet beverage consumption</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1921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3205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60</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18EEE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40.8%</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9287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(29.9%,</w:t>
            </w:r>
            <w:r>
              <w:rPr>
                <w:rFonts w:ascii="Arial" w:eastAsia="DejaVu Sans" w:hAnsi="DejaVu Sans" w:cs="DejaVu Sans"/>
                <w:color w:val="000000"/>
                <w:sz w:val="22"/>
                <w:szCs w:val="22"/>
              </w:rPr>
              <w:t> </w:t>
            </w:r>
            <w:r>
              <w:rPr>
                <w:rFonts w:ascii="Arial" w:eastAsia="DejaVu Sans" w:hAnsi="DejaVu Sans" w:cs="DejaVu Sans"/>
                <w:color w:val="000000"/>
                <w:sz w:val="22"/>
                <w:szCs w:val="22"/>
              </w:rPr>
              <w:t>52.7%)</w:t>
            </w:r>
          </w:p>
        </w:tc>
      </w:tr>
      <w:tr w:rsidR="00BC28CE" w14:paraId="66AEEED5"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FD94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Unhealthy food consumption</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2E0F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1B6B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22</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02C9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15.0%</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70C1C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(9.3%,</w:t>
            </w:r>
            <w:r>
              <w:rPr>
                <w:rFonts w:ascii="Arial" w:eastAsia="DejaVu Sans" w:hAnsi="DejaVu Sans" w:cs="DejaVu Sans"/>
                <w:color w:val="000000"/>
                <w:sz w:val="22"/>
                <w:szCs w:val="22"/>
              </w:rPr>
              <w:t> </w:t>
            </w:r>
            <w:r>
              <w:rPr>
                <w:rFonts w:ascii="Arial" w:eastAsia="DejaVu Sans" w:hAnsi="DejaVu Sans" w:cs="DejaVu Sans"/>
                <w:color w:val="000000"/>
                <w:sz w:val="22"/>
                <w:szCs w:val="22"/>
              </w:rPr>
              <w:t>23.3%)</w:t>
            </w:r>
          </w:p>
        </w:tc>
      </w:tr>
      <w:tr w:rsidR="00BC28CE" w14:paraId="5D967F13" w14:textId="77777777">
        <w:trPr>
          <w:jc w:val="center"/>
        </w:trPr>
        <w:tc>
          <w:tcPr>
            <w:tcW w:w="32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0D5D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Zero vegetable or fruit consumption</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BC46A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6-23 months</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2501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62</w:t>
            </w:r>
          </w:p>
        </w:tc>
        <w:tc>
          <w:tcPr>
            <w:tcW w:w="144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CA00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42.2%</w:t>
            </w:r>
          </w:p>
        </w:tc>
        <w:tc>
          <w:tcPr>
            <w:tcW w:w="180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77AF8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(29.5%,</w:t>
            </w:r>
            <w:r>
              <w:rPr>
                <w:rFonts w:ascii="Arial" w:eastAsia="DejaVu Sans" w:hAnsi="DejaVu Sans" w:cs="DejaVu Sans"/>
                <w:color w:val="000000"/>
                <w:sz w:val="22"/>
                <w:szCs w:val="22"/>
              </w:rPr>
              <w:t> </w:t>
            </w:r>
            <w:r>
              <w:rPr>
                <w:rFonts w:ascii="Arial" w:eastAsia="DejaVu Sans" w:hAnsi="DejaVu Sans" w:cs="DejaVu Sans"/>
                <w:color w:val="000000"/>
                <w:sz w:val="22"/>
                <w:szCs w:val="22"/>
              </w:rPr>
              <w:t>56.0%)</w:t>
            </w:r>
          </w:p>
        </w:tc>
      </w:tr>
      <w:tr w:rsidR="00BC28CE" w14:paraId="1EDC0D2D" w14:textId="77777777">
        <w:trPr>
          <w:jc w:val="center"/>
        </w:trPr>
        <w:tc>
          <w:tcPr>
            <w:tcW w:w="9360" w:type="dxa"/>
            <w:gridSpan w:val="5"/>
            <w:tcBorders>
              <w:top w:val="none" w:sz="0" w:space="0" w:color="000000"/>
              <w:left w:val="none" w:sz="0" w:space="0" w:color="000000"/>
              <w:bottom w:val="none" w:sz="0" w:space="0" w:color="000000"/>
              <w:right w:val="none" w:sz="0" w:space="0" w:color="000000"/>
            </w:tcBorders>
            <w:shd w:val="clear" w:color="auto" w:fill="ECC182"/>
            <w:tcMar>
              <w:top w:w="0" w:type="dxa"/>
              <w:left w:w="0" w:type="dxa"/>
              <w:bottom w:w="0" w:type="dxa"/>
              <w:right w:w="0" w:type="dxa"/>
            </w:tcMar>
            <w:vAlign w:val="center"/>
          </w:tcPr>
          <w:p w14:paraId="7195E76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Other Indicators</w:t>
            </w:r>
          </w:p>
        </w:tc>
      </w:tr>
      <w:tr w:rsidR="00BC28CE" w14:paraId="7F08E80F" w14:textId="77777777">
        <w:trPr>
          <w:jc w:val="center"/>
        </w:trPr>
        <w:tc>
          <w:tcPr>
            <w:tcW w:w="324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AF243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Bottle feeding</w:t>
            </w:r>
          </w:p>
        </w:tc>
        <w:tc>
          <w:tcPr>
            <w:tcW w:w="180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B1087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0-23 months</w:t>
            </w: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43A9F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100</w:t>
            </w:r>
          </w:p>
        </w:tc>
        <w:tc>
          <w:tcPr>
            <w:tcW w:w="144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8126B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58.1%</w:t>
            </w:r>
          </w:p>
        </w:tc>
        <w:tc>
          <w:tcPr>
            <w:tcW w:w="180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5C4EE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(49.4%,</w:t>
            </w:r>
            <w:r>
              <w:rPr>
                <w:rFonts w:ascii="Arial" w:eastAsia="DejaVu Sans" w:hAnsi="DejaVu Sans" w:cs="DejaVu Sans"/>
                <w:color w:val="000000"/>
                <w:sz w:val="22"/>
                <w:szCs w:val="22"/>
              </w:rPr>
              <w:t> </w:t>
            </w:r>
            <w:r>
              <w:rPr>
                <w:rFonts w:ascii="Arial" w:eastAsia="DejaVu Sans" w:hAnsi="DejaVu Sans" w:cs="DejaVu Sans"/>
                <w:color w:val="000000"/>
                <w:sz w:val="22"/>
                <w:szCs w:val="22"/>
              </w:rPr>
              <w:t>66.4%)</w:t>
            </w:r>
          </w:p>
        </w:tc>
      </w:tr>
    </w:tbl>
    <w:bookmarkEnd w:id="192"/>
    <w:p w14:paraId="13BB8841" w14:textId="77777777" w:rsidR="00BC28CE" w:rsidRDefault="00000000">
      <w:r>
        <w:br/>
      </w:r>
    </w:p>
    <w:p w14:paraId="1C66E262" w14:textId="77777777" w:rsidR="00BC28CE" w:rsidRDefault="00000000">
      <w:pPr>
        <w:pStyle w:val="Heading3"/>
      </w:pPr>
      <w:bookmarkStart w:id="193" w:name="X8c66552e90dad3cb14886dea8b7a4f423c5e8d4"/>
      <w:bookmarkEnd w:id="169"/>
      <w:bookmarkEnd w:id="189"/>
      <w:r>
        <w:t>Indicators at individual level – Women 15-49 years</w:t>
      </w:r>
    </w:p>
    <w:p w14:paraId="09611283" w14:textId="4A228F3D" w:rsidR="009D24AC" w:rsidRDefault="009D24AC" w:rsidP="009D24AC">
      <w:r w:rsidRPr="009D24AC">
        <w:t xml:space="preserve">The survey included all the women of reproductive age (WRA) in the selected households for the assessment of maternal </w:t>
      </w:r>
      <w:r w:rsidRPr="009D24AC">
        <w:t>nutrition.</w:t>
      </w:r>
    </w:p>
    <w:p w14:paraId="320788FE" w14:textId="77777777" w:rsidR="00BC28CE" w:rsidRDefault="00000000">
      <w:pPr>
        <w:pStyle w:val="Heading4"/>
      </w:pPr>
      <w:bookmarkStart w:id="194" w:name="physiological-status-and-age"/>
      <w:r>
        <w:t>Physiological Status and Age</w:t>
      </w:r>
    </w:p>
    <w:p w14:paraId="387B51E6" w14:textId="7DE52F15" w:rsidR="009D24AC" w:rsidRPr="009D24AC" w:rsidRDefault="009D24AC" w:rsidP="009D24AC">
      <w:pPr>
        <w:jc w:val="both"/>
      </w:pPr>
      <w:r w:rsidRPr="009D24AC">
        <w:t>The physiological status of women of reproductive age (WRA) was assessed across different categories, including non-pregnant, non-lactating; pregnant; and lactating with infants under and over six months old. Among the surveyed population, 59.0% were classified as non-pregnant and non-lactating, 11.8% were pregnant, 31.4% were lactating with infants under six months, and 68.6% were lactating with infants over six months.</w:t>
      </w:r>
    </w:p>
    <w:p w14:paraId="661F455F"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95" w:name="_Toc161945756"/>
      <w:r>
        <w:rPr>
          <w:b/>
        </w:rPr>
        <w:t xml:space="preserve">Table </w:t>
      </w:r>
      <w:bookmarkStart w:id="196" w:name="prop-wphys"/>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47</w:t>
      </w:r>
      <w:r>
        <w:rPr>
          <w:b/>
        </w:rPr>
        <w:fldChar w:fldCharType="end"/>
      </w:r>
      <w:bookmarkEnd w:id="196"/>
      <w:r>
        <w:rPr>
          <w:b/>
        </w:rPr>
        <w:t xml:space="preserve">: </w:t>
      </w:r>
      <w:r>
        <w:t>Physiological status for women aged 15-49</w:t>
      </w:r>
      <w:bookmarkEnd w:id="195"/>
    </w:p>
    <w:tbl>
      <w:tblPr>
        <w:tblW w:w="5000" w:type="pct"/>
        <w:jc w:val="center"/>
        <w:tblLook w:val="0420" w:firstRow="1" w:lastRow="0" w:firstColumn="0" w:lastColumn="0" w:noHBand="0" w:noVBand="1"/>
      </w:tblPr>
      <w:tblGrid>
        <w:gridCol w:w="5317"/>
        <w:gridCol w:w="711"/>
        <w:gridCol w:w="1385"/>
        <w:gridCol w:w="1947"/>
      </w:tblGrid>
      <w:tr w:rsidR="00BC28CE" w14:paraId="0175D7C3" w14:textId="77777777" w:rsidTr="009D24AC">
        <w:trPr>
          <w:tblHeader/>
          <w:jc w:val="center"/>
        </w:trPr>
        <w:tc>
          <w:tcPr>
            <w:tcW w:w="2840"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8B54A31"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380"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DEC1D3B"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740"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62A3BB3"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1040"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D40FEA5"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0DC652D8" w14:textId="77777777" w:rsidTr="009D24AC">
        <w:trPr>
          <w:jc w:val="center"/>
        </w:trPr>
        <w:tc>
          <w:tcPr>
            <w:tcW w:w="2840"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E302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Non-pregnant, non-lactating</w:t>
            </w:r>
          </w:p>
        </w:tc>
        <w:tc>
          <w:tcPr>
            <w:tcW w:w="380"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F007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329</w:t>
            </w:r>
          </w:p>
        </w:tc>
        <w:tc>
          <w:tcPr>
            <w:tcW w:w="740"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6A52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59.0%</w:t>
            </w:r>
          </w:p>
        </w:tc>
        <w:tc>
          <w:tcPr>
            <w:tcW w:w="1040"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ED183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(53.7%,</w:t>
            </w:r>
            <w:r>
              <w:rPr>
                <w:rFonts w:ascii="Arial" w:eastAsia="DejaVu Sans" w:hAnsi="DejaVu Sans" w:cs="DejaVu Sans"/>
                <w:color w:val="000000"/>
                <w:sz w:val="22"/>
                <w:szCs w:val="22"/>
              </w:rPr>
              <w:t> </w:t>
            </w:r>
            <w:r>
              <w:rPr>
                <w:rFonts w:ascii="Arial" w:eastAsia="DejaVu Sans" w:hAnsi="DejaVu Sans" w:cs="DejaVu Sans"/>
                <w:color w:val="000000"/>
                <w:sz w:val="22"/>
                <w:szCs w:val="22"/>
              </w:rPr>
              <w:t>64.0%)</w:t>
            </w:r>
          </w:p>
        </w:tc>
      </w:tr>
      <w:tr w:rsidR="00BC28CE" w14:paraId="7778A279" w14:textId="77777777" w:rsidTr="009D24AC">
        <w:trPr>
          <w:jc w:val="center"/>
        </w:trPr>
        <w:tc>
          <w:tcPr>
            <w:tcW w:w="284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C64D4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Pregnant</w:t>
            </w:r>
          </w:p>
        </w:tc>
        <w:tc>
          <w:tcPr>
            <w:tcW w:w="3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3FD1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66</w:t>
            </w:r>
          </w:p>
        </w:tc>
        <w:tc>
          <w:tcPr>
            <w:tcW w:w="74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246C8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11.8%</w:t>
            </w:r>
          </w:p>
        </w:tc>
        <w:tc>
          <w:tcPr>
            <w:tcW w:w="104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8633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(8.4%,</w:t>
            </w:r>
            <w:r>
              <w:rPr>
                <w:rFonts w:ascii="Arial" w:eastAsia="DejaVu Sans" w:hAnsi="DejaVu Sans" w:cs="DejaVu Sans"/>
                <w:color w:val="000000"/>
                <w:sz w:val="22"/>
                <w:szCs w:val="22"/>
              </w:rPr>
              <w:t> </w:t>
            </w:r>
            <w:r>
              <w:rPr>
                <w:rFonts w:ascii="Arial" w:eastAsia="DejaVu Sans" w:hAnsi="DejaVu Sans" w:cs="DejaVu Sans"/>
                <w:color w:val="000000"/>
                <w:sz w:val="22"/>
                <w:szCs w:val="22"/>
              </w:rPr>
              <w:t>16.3%)</w:t>
            </w:r>
          </w:p>
        </w:tc>
      </w:tr>
      <w:tr w:rsidR="00BC28CE" w14:paraId="55DF3FED" w14:textId="77777777" w:rsidTr="009D24AC">
        <w:trPr>
          <w:jc w:val="center"/>
        </w:trPr>
        <w:tc>
          <w:tcPr>
            <w:tcW w:w="284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FDF21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Lactating with an infant less than 6 months</w:t>
            </w:r>
          </w:p>
        </w:tc>
        <w:tc>
          <w:tcPr>
            <w:tcW w:w="38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E3E53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54</w:t>
            </w:r>
          </w:p>
        </w:tc>
        <w:tc>
          <w:tcPr>
            <w:tcW w:w="74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28409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31.4%</w:t>
            </w:r>
          </w:p>
        </w:tc>
        <w:tc>
          <w:tcPr>
            <w:tcW w:w="104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429F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(23.3%,</w:t>
            </w:r>
            <w:r>
              <w:rPr>
                <w:rFonts w:ascii="Arial" w:eastAsia="DejaVu Sans" w:hAnsi="DejaVu Sans" w:cs="DejaVu Sans"/>
                <w:color w:val="000000"/>
                <w:sz w:val="22"/>
                <w:szCs w:val="22"/>
              </w:rPr>
              <w:t> </w:t>
            </w:r>
            <w:r>
              <w:rPr>
                <w:rFonts w:ascii="Arial" w:eastAsia="DejaVu Sans" w:hAnsi="DejaVu Sans" w:cs="DejaVu Sans"/>
                <w:color w:val="000000"/>
                <w:sz w:val="22"/>
                <w:szCs w:val="22"/>
              </w:rPr>
              <w:t>40.8%)</w:t>
            </w:r>
          </w:p>
        </w:tc>
      </w:tr>
      <w:tr w:rsidR="00BC28CE" w14:paraId="25B08AA9" w14:textId="77777777" w:rsidTr="009D24AC">
        <w:trPr>
          <w:jc w:val="center"/>
        </w:trPr>
        <w:tc>
          <w:tcPr>
            <w:tcW w:w="2840"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0A454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Lactating with an infant greater than 6 months</w:t>
            </w:r>
          </w:p>
        </w:tc>
        <w:tc>
          <w:tcPr>
            <w:tcW w:w="380"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B58A6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118</w:t>
            </w:r>
          </w:p>
        </w:tc>
        <w:tc>
          <w:tcPr>
            <w:tcW w:w="740"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2F6C0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68.6%</w:t>
            </w:r>
          </w:p>
        </w:tc>
        <w:tc>
          <w:tcPr>
            <w:tcW w:w="1040"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F3956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(59.2%,</w:t>
            </w:r>
            <w:r>
              <w:rPr>
                <w:rFonts w:ascii="Arial" w:eastAsia="DejaVu Sans" w:hAnsi="DejaVu Sans" w:cs="DejaVu Sans"/>
                <w:color w:val="000000"/>
                <w:sz w:val="22"/>
                <w:szCs w:val="22"/>
              </w:rPr>
              <w:t> </w:t>
            </w:r>
            <w:r>
              <w:rPr>
                <w:rFonts w:ascii="Arial" w:eastAsia="DejaVu Sans" w:hAnsi="DejaVu Sans" w:cs="DejaVu Sans"/>
                <w:color w:val="000000"/>
                <w:sz w:val="22"/>
                <w:szCs w:val="22"/>
              </w:rPr>
              <w:t>76.7%)</w:t>
            </w:r>
          </w:p>
        </w:tc>
      </w:tr>
    </w:tbl>
    <w:p w14:paraId="00C44233" w14:textId="3EDC8A42" w:rsidR="00BC28CE" w:rsidRDefault="00000000" w:rsidP="009D24AC">
      <w:pPr>
        <w:jc w:val="both"/>
      </w:pPr>
      <w:r>
        <w:br/>
      </w:r>
      <w:r w:rsidR="009D24AC" w:rsidRPr="009D24AC">
        <w:t>The average age of individuals surveyed was 29.28 years</w:t>
      </w:r>
      <w:r w:rsidR="009D24AC">
        <w:t xml:space="preserve">. </w:t>
      </w:r>
      <w:r w:rsidR="009D24AC" w:rsidRPr="009D24AC">
        <w:t>The youngest participant was 15 years old, while the oldest was 49 years old. Overall, the dataset comprised 570 observations, providing a diverse representation of age groups within the surveyed population.</w:t>
      </w:r>
    </w:p>
    <w:p w14:paraId="042C58FA"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197" w:name="_Toc161945757"/>
      <w:r>
        <w:rPr>
          <w:b/>
        </w:rPr>
        <w:lastRenderedPageBreak/>
        <w:t xml:space="preserve">Table </w:t>
      </w:r>
      <w:bookmarkStart w:id="198" w:name="mean-womenage"/>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48</w:t>
      </w:r>
      <w:r>
        <w:rPr>
          <w:b/>
        </w:rPr>
        <w:fldChar w:fldCharType="end"/>
      </w:r>
      <w:bookmarkEnd w:id="198"/>
      <w:r>
        <w:rPr>
          <w:b/>
        </w:rPr>
        <w:t xml:space="preserve">: </w:t>
      </w:r>
      <w:r>
        <w:t>Women's Age (all women aged 15-49)</w:t>
      </w:r>
      <w:bookmarkEnd w:id="197"/>
    </w:p>
    <w:tbl>
      <w:tblPr>
        <w:tblW w:w="0" w:type="auto"/>
        <w:jc w:val="center"/>
        <w:tblLayout w:type="fixed"/>
        <w:tblLook w:val="0420" w:firstRow="1" w:lastRow="0" w:firstColumn="0" w:lastColumn="0" w:noHBand="0" w:noVBand="1"/>
      </w:tblPr>
      <w:tblGrid>
        <w:gridCol w:w="3024"/>
        <w:gridCol w:w="1296"/>
        <w:gridCol w:w="2160"/>
        <w:gridCol w:w="720"/>
        <w:gridCol w:w="720"/>
        <w:gridCol w:w="720"/>
        <w:gridCol w:w="720"/>
      </w:tblGrid>
      <w:tr w:rsidR="00BC28CE" w14:paraId="543A414E" w14:textId="77777777">
        <w:trPr>
          <w:tblHeader/>
          <w:jc w:val="center"/>
        </w:trPr>
        <w:tc>
          <w:tcPr>
            <w:tcW w:w="3024"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45E160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b/>
                <w:color w:val="FFFFFF"/>
                <w:sz w:val="22"/>
                <w:szCs w:val="22"/>
              </w:rPr>
              <w:t>Variable</w:t>
            </w:r>
          </w:p>
        </w:tc>
        <w:tc>
          <w:tcPr>
            <w:tcW w:w="1296"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87F2FF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Mean</w:t>
            </w:r>
          </w:p>
        </w:tc>
        <w:tc>
          <w:tcPr>
            <w:tcW w:w="216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6260CE9E"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95% CI</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6E37374"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Obs.</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ED10873"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SD</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443DFF6A"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Min</w:t>
            </w:r>
          </w:p>
        </w:tc>
        <w:tc>
          <w:tcPr>
            <w:tcW w:w="720" w:type="dxa"/>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97C64F8"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b/>
                <w:color w:val="FFFFFF"/>
                <w:sz w:val="22"/>
                <w:szCs w:val="22"/>
              </w:rPr>
              <w:t>Max</w:t>
            </w:r>
          </w:p>
        </w:tc>
      </w:tr>
      <w:tr w:rsidR="00BC28CE" w14:paraId="666DA2C9" w14:textId="77777777">
        <w:trPr>
          <w:jc w:val="center"/>
        </w:trPr>
        <w:tc>
          <w:tcPr>
            <w:tcW w:w="302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9E8248D"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pPr>
            <w:r>
              <w:rPr>
                <w:rFonts w:ascii="Arial" w:eastAsia="DejaVu Sans" w:hAnsi="DejaVu Sans" w:cs="DejaVu Sans"/>
                <w:color w:val="000000"/>
                <w:sz w:val="22"/>
                <w:szCs w:val="22"/>
              </w:rPr>
              <w:t>Age</w:t>
            </w:r>
          </w:p>
        </w:tc>
        <w:tc>
          <w:tcPr>
            <w:tcW w:w="1296"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9CF1F8C"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29.28</w:t>
            </w:r>
          </w:p>
        </w:tc>
        <w:tc>
          <w:tcPr>
            <w:tcW w:w="216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9FA0E08"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(28.6,</w:t>
            </w:r>
            <w:r>
              <w:rPr>
                <w:rFonts w:ascii="Arial" w:eastAsia="DejaVu Sans" w:hAnsi="DejaVu Sans" w:cs="DejaVu Sans"/>
                <w:color w:val="000000"/>
                <w:sz w:val="22"/>
                <w:szCs w:val="22"/>
              </w:rPr>
              <w:t> </w:t>
            </w:r>
            <w:r>
              <w:rPr>
                <w:rFonts w:ascii="Arial" w:eastAsia="DejaVu Sans" w:hAnsi="DejaVu Sans" w:cs="DejaVu Sans"/>
                <w:color w:val="000000"/>
                <w:sz w:val="22"/>
                <w:szCs w:val="22"/>
              </w:rPr>
              <w:t>30.0)</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8F9306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570</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AC1F386"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8.43</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DA81FF1"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15</w:t>
            </w:r>
          </w:p>
        </w:tc>
        <w:tc>
          <w:tcPr>
            <w:tcW w:w="72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5DE263B" w14:textId="77777777" w:rsidR="00BC28CE" w:rsidRDefault="00000000">
            <w:pPr>
              <w:pBdr>
                <w:top w:val="none" w:sz="0" w:space="0" w:color="000000"/>
                <w:left w:val="none" w:sz="0" w:space="0" w:color="000000"/>
                <w:bottom w:val="none" w:sz="0" w:space="0" w:color="000000"/>
                <w:right w:val="none" w:sz="0" w:space="0" w:color="000000"/>
              </w:pBdr>
              <w:spacing w:before="100" w:after="100"/>
              <w:ind w:left="100" w:right="100"/>
              <w:jc w:val="center"/>
            </w:pPr>
            <w:r>
              <w:rPr>
                <w:rFonts w:ascii="Arial" w:eastAsia="DejaVu Sans" w:hAnsi="DejaVu Sans" w:cs="DejaVu Sans"/>
                <w:color w:val="000000"/>
                <w:sz w:val="22"/>
                <w:szCs w:val="22"/>
              </w:rPr>
              <w:t>49</w:t>
            </w:r>
          </w:p>
        </w:tc>
      </w:tr>
    </w:tbl>
    <w:p w14:paraId="170AF4E1" w14:textId="3D36C475" w:rsidR="00BC28CE" w:rsidRDefault="00BC28CE"/>
    <w:p w14:paraId="1A6118E2" w14:textId="77777777" w:rsidR="00BC28CE" w:rsidRDefault="00000000">
      <w:pPr>
        <w:pStyle w:val="Heading4"/>
      </w:pPr>
      <w:bookmarkStart w:id="199" w:name="muac-in-women"/>
      <w:bookmarkEnd w:id="194"/>
      <w:r>
        <w:t>MUAC in women</w:t>
      </w:r>
    </w:p>
    <w:p w14:paraId="3C2B693A" w14:textId="350893BB" w:rsidR="009D24AC" w:rsidRDefault="009D24AC" w:rsidP="009D24AC">
      <w:pPr>
        <w:jc w:val="both"/>
      </w:pPr>
      <w:r w:rsidRPr="009D24AC">
        <w:t>Among non-pregnant, non-lactating women aged 15-49, the prevalence of mid-upper arm circumference (MUAC) malnutrition was assessed. The data revealed that 4.3% of women</w:t>
      </w:r>
      <w:r>
        <w:t xml:space="preserve"> were malnourished</w:t>
      </w:r>
      <w:r w:rsidRPr="009D24AC">
        <w:t xml:space="preserve"> </w:t>
      </w:r>
      <w:r>
        <w:t>(</w:t>
      </w:r>
      <w:r w:rsidRPr="009D24AC">
        <w:t>had a MUAC measurement less than 210mm</w:t>
      </w:r>
      <w:r>
        <w:t>)</w:t>
      </w:r>
      <w:r w:rsidRPr="009D24AC">
        <w:t>. Conversely, the majority, comprising 95.7% of women, had a MUAC measurement of 210mm or greater, indicating no malnutrition. Additionally, when considering a slightly higher MUAC threshold of less than 230mm, the prevalence of malnutrition increased to 22.8%, with 77.2% of women showing no signs of malnutrition.</w:t>
      </w:r>
    </w:p>
    <w:p w14:paraId="5583CD88" w14:textId="1099045C" w:rsidR="00BE6AF2" w:rsidRPr="009D24AC" w:rsidRDefault="00BE6AF2" w:rsidP="009D24AC">
      <w:pPr>
        <w:jc w:val="both"/>
      </w:pPr>
      <w:r w:rsidRPr="00BE6AF2">
        <w:t>Among non-pregnant, non-lactating women aged 15-49, the prevalence of mid-upper arm circumference (MUAC) malnutrition was assessed. The data revealed that 4.3% of women fell into the malnourished category, with a MUAC measurement less than 210mm. Additionally, when considering those at risk, with a MUAC measurement between 210mm and less than 230mm, the prevalence of malnutrition increased to 22.8%.</w:t>
      </w:r>
    </w:p>
    <w:p w14:paraId="1A0451F9"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00" w:name="_Toc161945758"/>
      <w:r>
        <w:rPr>
          <w:b/>
        </w:rPr>
        <w:t xml:space="preserve">Table </w:t>
      </w:r>
      <w:bookmarkStart w:id="201" w:name="prop-wmuac1"/>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49</w:t>
      </w:r>
      <w:r>
        <w:rPr>
          <w:b/>
        </w:rPr>
        <w:fldChar w:fldCharType="end"/>
      </w:r>
      <w:bookmarkEnd w:id="201"/>
      <w:r>
        <w:rPr>
          <w:b/>
        </w:rPr>
        <w:t xml:space="preserve">: </w:t>
      </w:r>
      <w:r>
        <w:t>Prevalence of MUAC Malnutrition in Non-Pregnant, Non-Lactating Women (Aged 15-49)</w:t>
      </w:r>
      <w:bookmarkEnd w:id="200"/>
    </w:p>
    <w:tbl>
      <w:tblPr>
        <w:tblW w:w="5000" w:type="pct"/>
        <w:jc w:val="center"/>
        <w:tblLook w:val="0420" w:firstRow="1" w:lastRow="0" w:firstColumn="0" w:lastColumn="0" w:noHBand="0" w:noVBand="1"/>
      </w:tblPr>
      <w:tblGrid>
        <w:gridCol w:w="4691"/>
        <w:gridCol w:w="820"/>
        <w:gridCol w:w="1601"/>
        <w:gridCol w:w="2248"/>
      </w:tblGrid>
      <w:tr w:rsidR="00BC28CE" w14:paraId="5CB2088A" w14:textId="77777777" w:rsidTr="009D24AC">
        <w:trPr>
          <w:tblHeader/>
          <w:jc w:val="center"/>
        </w:trPr>
        <w:tc>
          <w:tcPr>
            <w:tcW w:w="250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2C975F4"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r>
              <w:rPr>
                <w:rFonts w:ascii="Arial" w:eastAsia="DejaVu Sans" w:hAnsi="DejaVu Sans" w:cs="DejaVu Sans"/>
                <w:b/>
                <w:color w:val="FFFFFF"/>
                <w:sz w:val="22"/>
                <w:szCs w:val="22"/>
              </w:rPr>
              <w:t>Level</w:t>
            </w:r>
          </w:p>
        </w:tc>
        <w:tc>
          <w:tcPr>
            <w:tcW w:w="438"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5BEE9D4"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85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81D6234"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1201"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5A4D25D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tr w:rsidR="00BC28CE" w14:paraId="3C93E53A" w14:textId="77777777" w:rsidTr="009D24AC">
        <w:trPr>
          <w:jc w:val="center"/>
        </w:trPr>
        <w:tc>
          <w:tcPr>
            <w:tcW w:w="2505"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FE890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Prevalence of MUAC &lt; 210mm</w:t>
            </w:r>
          </w:p>
        </w:tc>
        <w:tc>
          <w:tcPr>
            <w:tcW w:w="438"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DA89F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14</w:t>
            </w:r>
          </w:p>
        </w:tc>
        <w:tc>
          <w:tcPr>
            <w:tcW w:w="855"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1EA73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4.3%</w:t>
            </w:r>
          </w:p>
        </w:tc>
        <w:tc>
          <w:tcPr>
            <w:tcW w:w="1201"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6B972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(2.4%,</w:t>
            </w:r>
            <w:r>
              <w:rPr>
                <w:rFonts w:ascii="Arial" w:eastAsia="DejaVu Sans" w:hAnsi="DejaVu Sans" w:cs="DejaVu Sans"/>
                <w:color w:val="000000"/>
                <w:sz w:val="22"/>
                <w:szCs w:val="22"/>
              </w:rPr>
              <w:t> </w:t>
            </w:r>
            <w:r>
              <w:rPr>
                <w:rFonts w:ascii="Arial" w:eastAsia="DejaVu Sans" w:hAnsi="DejaVu Sans" w:cs="DejaVu Sans"/>
                <w:color w:val="000000"/>
                <w:sz w:val="22"/>
                <w:szCs w:val="22"/>
              </w:rPr>
              <w:t>7.7%)</w:t>
            </w:r>
          </w:p>
        </w:tc>
      </w:tr>
      <w:tr w:rsidR="00BC28CE" w14:paraId="250EA00D" w14:textId="77777777" w:rsidTr="009D24AC">
        <w:trPr>
          <w:jc w:val="center"/>
        </w:trPr>
        <w:tc>
          <w:tcPr>
            <w:tcW w:w="250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0CDC5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No malnutrition (MUAC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210mm)</w:t>
            </w:r>
          </w:p>
        </w:tc>
        <w:tc>
          <w:tcPr>
            <w:tcW w:w="4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15FB2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310</w:t>
            </w:r>
          </w:p>
        </w:tc>
        <w:tc>
          <w:tcPr>
            <w:tcW w:w="85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350D02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95.7%</w:t>
            </w:r>
          </w:p>
        </w:tc>
        <w:tc>
          <w:tcPr>
            <w:tcW w:w="1201"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E4E18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(92.3%,</w:t>
            </w:r>
            <w:r>
              <w:rPr>
                <w:rFonts w:ascii="Arial" w:eastAsia="DejaVu Sans" w:hAnsi="DejaVu Sans" w:cs="DejaVu Sans"/>
                <w:color w:val="000000"/>
                <w:sz w:val="22"/>
                <w:szCs w:val="22"/>
              </w:rPr>
              <w:t> </w:t>
            </w:r>
            <w:r>
              <w:rPr>
                <w:rFonts w:ascii="Arial" w:eastAsia="DejaVu Sans" w:hAnsi="DejaVu Sans" w:cs="DejaVu Sans"/>
                <w:color w:val="000000"/>
                <w:sz w:val="22"/>
                <w:szCs w:val="22"/>
              </w:rPr>
              <w:t>97.6%)</w:t>
            </w:r>
          </w:p>
        </w:tc>
      </w:tr>
      <w:tr w:rsidR="00BC28CE" w14:paraId="621D8B27" w14:textId="77777777" w:rsidTr="009D24AC">
        <w:trPr>
          <w:jc w:val="center"/>
        </w:trPr>
        <w:tc>
          <w:tcPr>
            <w:tcW w:w="250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1ECA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Prevalence of MUAC &lt; 230mm</w:t>
            </w:r>
          </w:p>
        </w:tc>
        <w:tc>
          <w:tcPr>
            <w:tcW w:w="4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38FD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74</w:t>
            </w:r>
          </w:p>
        </w:tc>
        <w:tc>
          <w:tcPr>
            <w:tcW w:w="85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65EA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22.8%</w:t>
            </w:r>
          </w:p>
        </w:tc>
        <w:tc>
          <w:tcPr>
            <w:tcW w:w="1201"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ADBEC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(18.2%,</w:t>
            </w:r>
            <w:r>
              <w:rPr>
                <w:rFonts w:ascii="Arial" w:eastAsia="DejaVu Sans" w:hAnsi="DejaVu Sans" w:cs="DejaVu Sans"/>
                <w:color w:val="000000"/>
                <w:sz w:val="22"/>
                <w:szCs w:val="22"/>
              </w:rPr>
              <w:t> </w:t>
            </w:r>
            <w:r>
              <w:rPr>
                <w:rFonts w:ascii="Arial" w:eastAsia="DejaVu Sans" w:hAnsi="DejaVu Sans" w:cs="DejaVu Sans"/>
                <w:color w:val="000000"/>
                <w:sz w:val="22"/>
                <w:szCs w:val="22"/>
              </w:rPr>
              <w:t>28.3%)</w:t>
            </w:r>
          </w:p>
        </w:tc>
      </w:tr>
      <w:tr w:rsidR="00BC28CE" w14:paraId="034FCE91" w14:textId="77777777" w:rsidTr="009D24AC">
        <w:trPr>
          <w:jc w:val="center"/>
        </w:trPr>
        <w:tc>
          <w:tcPr>
            <w:tcW w:w="2505"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2703A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No malnutrition (MUAC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230mm)</w:t>
            </w:r>
          </w:p>
        </w:tc>
        <w:tc>
          <w:tcPr>
            <w:tcW w:w="438"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684DA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250</w:t>
            </w:r>
          </w:p>
        </w:tc>
        <w:tc>
          <w:tcPr>
            <w:tcW w:w="855"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1CC73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77.2%</w:t>
            </w:r>
          </w:p>
        </w:tc>
        <w:tc>
          <w:tcPr>
            <w:tcW w:w="1201"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B75DA9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(71.7%,</w:t>
            </w:r>
            <w:r>
              <w:rPr>
                <w:rFonts w:ascii="Arial" w:eastAsia="DejaVu Sans" w:hAnsi="DejaVu Sans" w:cs="DejaVu Sans"/>
                <w:color w:val="000000"/>
                <w:sz w:val="22"/>
                <w:szCs w:val="22"/>
              </w:rPr>
              <w:t> </w:t>
            </w:r>
            <w:r>
              <w:rPr>
                <w:rFonts w:ascii="Arial" w:eastAsia="DejaVu Sans" w:hAnsi="DejaVu Sans" w:cs="DejaVu Sans"/>
                <w:color w:val="000000"/>
                <w:sz w:val="22"/>
                <w:szCs w:val="22"/>
              </w:rPr>
              <w:t>81.8%)</w:t>
            </w:r>
          </w:p>
        </w:tc>
      </w:tr>
    </w:tbl>
    <w:p w14:paraId="428414F4" w14:textId="31C25218" w:rsidR="00196897" w:rsidRDefault="00000000" w:rsidP="00196897">
      <w:pPr>
        <w:jc w:val="both"/>
      </w:pPr>
      <w:r>
        <w:br/>
      </w:r>
      <w:r w:rsidR="00196897">
        <w:t xml:space="preserve">The prevalence of mid-upper arm circumference (MUAC) malnutrition among pregnant women and lactating women with infants less than 6 months old was assessed using predefined thresholds. The data revealed that 9.0% of women fell into the malnourished category, with a MUAC measurement less than 210mm. </w:t>
      </w:r>
    </w:p>
    <w:p w14:paraId="27B43FE2" w14:textId="78358E26" w:rsidR="00BC28CE" w:rsidRDefault="00196897" w:rsidP="00196897">
      <w:pPr>
        <w:jc w:val="both"/>
      </w:pPr>
      <w:r>
        <w:t>Furthermore, when considering those at risk, with a MUAC measurement between 210mm and less than 230mm, the prevalence of malnutrition increased to 24.3%. This highlights the vulnerability of pregnant and lactating women to malnutrition, which can have significant implications for maternal and child health outcomes.</w:t>
      </w:r>
    </w:p>
    <w:p w14:paraId="49038537"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02" w:name="_Toc161945759"/>
      <w:r>
        <w:rPr>
          <w:b/>
        </w:rPr>
        <w:lastRenderedPageBreak/>
        <w:t xml:space="preserve">Table </w:t>
      </w:r>
      <w:bookmarkStart w:id="203" w:name="prop-wmuac2"/>
      <w:r>
        <w:rPr>
          <w:b/>
        </w:rPr>
        <w:fldChar w:fldCharType="begin"/>
      </w:r>
      <w:r>
        <w:rPr>
          <w:b/>
        </w:rPr>
        <w:instrText>STYLEREF 1 \r</w:instrText>
      </w:r>
      <w:r w:rsidR="00822E50">
        <w:rPr>
          <w:b/>
        </w:rPr>
        <w:fldChar w:fldCharType="separate"/>
      </w:r>
      <w:r w:rsidR="00822E50">
        <w:rPr>
          <w:b/>
          <w:noProof/>
        </w:rPr>
        <w:t>10</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50</w:t>
      </w:r>
      <w:r>
        <w:rPr>
          <w:b/>
        </w:rPr>
        <w:fldChar w:fldCharType="end"/>
      </w:r>
      <w:bookmarkEnd w:id="203"/>
      <w:r>
        <w:rPr>
          <w:b/>
        </w:rPr>
        <w:t xml:space="preserve">: </w:t>
      </w:r>
      <w:r>
        <w:t>Prevalence of MUAC Malnutrition in Pregnant Women and Lactating Women with an Infant Less Than 6 Months</w:t>
      </w:r>
      <w:bookmarkEnd w:id="202"/>
    </w:p>
    <w:tbl>
      <w:tblPr>
        <w:tblW w:w="5000" w:type="pct"/>
        <w:jc w:val="center"/>
        <w:tblLook w:val="0420" w:firstRow="1" w:lastRow="0" w:firstColumn="0" w:lastColumn="0" w:noHBand="0" w:noVBand="1"/>
      </w:tblPr>
      <w:tblGrid>
        <w:gridCol w:w="4691"/>
        <w:gridCol w:w="820"/>
        <w:gridCol w:w="1601"/>
        <w:gridCol w:w="2248"/>
      </w:tblGrid>
      <w:tr w:rsidR="00BC28CE" w14:paraId="0B53DD89" w14:textId="77777777" w:rsidTr="00196897">
        <w:trPr>
          <w:tblHeader/>
          <w:jc w:val="center"/>
        </w:trPr>
        <w:tc>
          <w:tcPr>
            <w:tcW w:w="250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271A5DBB"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pPr>
            <w:bookmarkStart w:id="204" w:name="_Hlk162244570"/>
            <w:r>
              <w:rPr>
                <w:rFonts w:ascii="Arial" w:eastAsia="DejaVu Sans" w:hAnsi="DejaVu Sans" w:cs="DejaVu Sans"/>
                <w:b/>
                <w:color w:val="FFFFFF"/>
                <w:sz w:val="22"/>
                <w:szCs w:val="22"/>
              </w:rPr>
              <w:t>Level</w:t>
            </w:r>
          </w:p>
        </w:tc>
        <w:tc>
          <w:tcPr>
            <w:tcW w:w="438"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398AA51A"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Freq.</w:t>
            </w:r>
          </w:p>
        </w:tc>
        <w:tc>
          <w:tcPr>
            <w:tcW w:w="85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6ECABF1"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Proportion</w:t>
            </w:r>
          </w:p>
        </w:tc>
        <w:tc>
          <w:tcPr>
            <w:tcW w:w="1201"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08CF9B2" w14:textId="77777777" w:rsidR="00BC28CE" w:rsidRDefault="00000000">
            <w:pPr>
              <w:pBdr>
                <w:top w:val="none" w:sz="0" w:space="0" w:color="000000"/>
                <w:left w:val="none" w:sz="0" w:space="0" w:color="000000"/>
                <w:bottom w:val="none" w:sz="0" w:space="0" w:color="000000"/>
                <w:right w:val="none" w:sz="0" w:space="0" w:color="000000"/>
              </w:pBdr>
              <w:spacing w:before="40" w:after="40"/>
              <w:ind w:left="40" w:right="40"/>
              <w:jc w:val="center"/>
            </w:pPr>
            <w:r>
              <w:rPr>
                <w:rFonts w:ascii="Arial" w:eastAsia="DejaVu Sans" w:hAnsi="DejaVu Sans" w:cs="DejaVu Sans"/>
                <w:b/>
                <w:color w:val="FFFFFF"/>
                <w:sz w:val="22"/>
                <w:szCs w:val="22"/>
              </w:rPr>
              <w:t>95% CI</w:t>
            </w:r>
          </w:p>
        </w:tc>
      </w:tr>
      <w:bookmarkEnd w:id="204"/>
      <w:tr w:rsidR="00BC28CE" w14:paraId="19B3FCDB" w14:textId="77777777" w:rsidTr="00196897">
        <w:trPr>
          <w:jc w:val="center"/>
        </w:trPr>
        <w:tc>
          <w:tcPr>
            <w:tcW w:w="2505"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6689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Prevalence of MUAC &lt; 210mm</w:t>
            </w:r>
          </w:p>
        </w:tc>
        <w:tc>
          <w:tcPr>
            <w:tcW w:w="438"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ACCD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10</w:t>
            </w:r>
          </w:p>
        </w:tc>
        <w:tc>
          <w:tcPr>
            <w:tcW w:w="855"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639C0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9.0%</w:t>
            </w:r>
          </w:p>
        </w:tc>
        <w:tc>
          <w:tcPr>
            <w:tcW w:w="1201" w:type="pct"/>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6506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(4.8%,</w:t>
            </w:r>
            <w:r>
              <w:rPr>
                <w:rFonts w:ascii="Arial" w:eastAsia="DejaVu Sans" w:hAnsi="DejaVu Sans" w:cs="DejaVu Sans"/>
                <w:color w:val="000000"/>
                <w:sz w:val="22"/>
                <w:szCs w:val="22"/>
              </w:rPr>
              <w:t> </w:t>
            </w:r>
            <w:r>
              <w:rPr>
                <w:rFonts w:ascii="Arial" w:eastAsia="DejaVu Sans" w:hAnsi="DejaVu Sans" w:cs="DejaVu Sans"/>
                <w:color w:val="000000"/>
                <w:sz w:val="22"/>
                <w:szCs w:val="22"/>
              </w:rPr>
              <w:t>16.3%)</w:t>
            </w:r>
          </w:p>
        </w:tc>
      </w:tr>
      <w:tr w:rsidR="00BC28CE" w14:paraId="052DD34B" w14:textId="77777777" w:rsidTr="00196897">
        <w:trPr>
          <w:jc w:val="center"/>
        </w:trPr>
        <w:tc>
          <w:tcPr>
            <w:tcW w:w="250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8F82A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No malnutrition (MUAC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210mm)</w:t>
            </w:r>
          </w:p>
        </w:tc>
        <w:tc>
          <w:tcPr>
            <w:tcW w:w="4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726C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101</w:t>
            </w:r>
          </w:p>
        </w:tc>
        <w:tc>
          <w:tcPr>
            <w:tcW w:w="85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C2B9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91.0%</w:t>
            </w:r>
          </w:p>
        </w:tc>
        <w:tc>
          <w:tcPr>
            <w:tcW w:w="1201"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503C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(83.7%,</w:t>
            </w:r>
            <w:r>
              <w:rPr>
                <w:rFonts w:ascii="Arial" w:eastAsia="DejaVu Sans" w:hAnsi="DejaVu Sans" w:cs="DejaVu Sans"/>
                <w:color w:val="000000"/>
                <w:sz w:val="22"/>
                <w:szCs w:val="22"/>
              </w:rPr>
              <w:t> </w:t>
            </w:r>
            <w:r>
              <w:rPr>
                <w:rFonts w:ascii="Arial" w:eastAsia="DejaVu Sans" w:hAnsi="DejaVu Sans" w:cs="DejaVu Sans"/>
                <w:color w:val="000000"/>
                <w:sz w:val="22"/>
                <w:szCs w:val="22"/>
              </w:rPr>
              <w:t>95.2%)</w:t>
            </w:r>
          </w:p>
        </w:tc>
      </w:tr>
      <w:tr w:rsidR="00BC28CE" w14:paraId="4543C4DC" w14:textId="77777777" w:rsidTr="00196897">
        <w:trPr>
          <w:jc w:val="center"/>
        </w:trPr>
        <w:tc>
          <w:tcPr>
            <w:tcW w:w="250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0FA1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Prevalence of MUAC &lt; 230mm</w:t>
            </w:r>
          </w:p>
        </w:tc>
        <w:tc>
          <w:tcPr>
            <w:tcW w:w="438"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A3B5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27</w:t>
            </w:r>
          </w:p>
        </w:tc>
        <w:tc>
          <w:tcPr>
            <w:tcW w:w="855"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7EF67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24.3%</w:t>
            </w:r>
          </w:p>
        </w:tc>
        <w:tc>
          <w:tcPr>
            <w:tcW w:w="1201"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C1E38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(17.2%,</w:t>
            </w:r>
            <w:r>
              <w:rPr>
                <w:rFonts w:ascii="Arial" w:eastAsia="DejaVu Sans" w:hAnsi="DejaVu Sans" w:cs="DejaVu Sans"/>
                <w:color w:val="000000"/>
                <w:sz w:val="22"/>
                <w:szCs w:val="22"/>
              </w:rPr>
              <w:t> </w:t>
            </w:r>
            <w:r>
              <w:rPr>
                <w:rFonts w:ascii="Arial" w:eastAsia="DejaVu Sans" w:hAnsi="DejaVu Sans" w:cs="DejaVu Sans"/>
                <w:color w:val="000000"/>
                <w:sz w:val="22"/>
                <w:szCs w:val="22"/>
              </w:rPr>
              <w:t>33.1%)</w:t>
            </w:r>
          </w:p>
        </w:tc>
      </w:tr>
      <w:tr w:rsidR="00BC28CE" w14:paraId="1CD9F94F" w14:textId="77777777" w:rsidTr="00196897">
        <w:trPr>
          <w:jc w:val="center"/>
        </w:trPr>
        <w:tc>
          <w:tcPr>
            <w:tcW w:w="2505"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3E3F2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2"/>
                <w:szCs w:val="22"/>
              </w:rPr>
              <w:t xml:space="preserve">No malnutrition (MUAC </w:t>
            </w:r>
            <w:r>
              <w:rPr>
                <w:rFonts w:ascii="Arial" w:eastAsia="DejaVu Sans" w:hAnsi="DejaVu Sans" w:cs="DejaVu Sans"/>
                <w:color w:val="000000"/>
                <w:sz w:val="22"/>
                <w:szCs w:val="22"/>
              </w:rPr>
              <w:t>≥</w:t>
            </w:r>
            <w:r>
              <w:rPr>
                <w:rFonts w:ascii="Arial" w:eastAsia="DejaVu Sans" w:hAnsi="DejaVu Sans" w:cs="DejaVu Sans"/>
                <w:color w:val="000000"/>
                <w:sz w:val="22"/>
                <w:szCs w:val="22"/>
              </w:rPr>
              <w:t xml:space="preserve"> 230mm)</w:t>
            </w:r>
          </w:p>
        </w:tc>
        <w:tc>
          <w:tcPr>
            <w:tcW w:w="438"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ADDFC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 xml:space="preserve"> 84</w:t>
            </w:r>
          </w:p>
        </w:tc>
        <w:tc>
          <w:tcPr>
            <w:tcW w:w="855"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13125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75.7%</w:t>
            </w:r>
          </w:p>
        </w:tc>
        <w:tc>
          <w:tcPr>
            <w:tcW w:w="1201" w:type="pct"/>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58A7C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2"/>
                <w:szCs w:val="22"/>
              </w:rPr>
              <w:t>(66.9%,</w:t>
            </w:r>
            <w:r>
              <w:rPr>
                <w:rFonts w:ascii="Arial" w:eastAsia="DejaVu Sans" w:hAnsi="DejaVu Sans" w:cs="DejaVu Sans"/>
                <w:color w:val="000000"/>
                <w:sz w:val="22"/>
                <w:szCs w:val="22"/>
              </w:rPr>
              <w:t> </w:t>
            </w:r>
            <w:r>
              <w:rPr>
                <w:rFonts w:ascii="Arial" w:eastAsia="DejaVu Sans" w:hAnsi="DejaVu Sans" w:cs="DejaVu Sans"/>
                <w:color w:val="000000"/>
                <w:sz w:val="22"/>
                <w:szCs w:val="22"/>
              </w:rPr>
              <w:t>82.8%)</w:t>
            </w:r>
          </w:p>
        </w:tc>
      </w:tr>
    </w:tbl>
    <w:p w14:paraId="2F930386" w14:textId="77777777" w:rsidR="00922B17" w:rsidRDefault="00922B17"/>
    <w:p w14:paraId="515C5734" w14:textId="667997A6" w:rsidR="00922B17" w:rsidRDefault="00922B17" w:rsidP="00922B17">
      <w:pPr>
        <w:pStyle w:val="Heading4"/>
      </w:pPr>
      <w:r w:rsidRPr="00922B17">
        <w:t>Minimum Dietary Diversity- Women (MDD-W</w:t>
      </w:r>
      <w:r>
        <w:t>)</w:t>
      </w:r>
    </w:p>
    <w:p w14:paraId="79298680" w14:textId="266E86AF" w:rsidR="00922B17" w:rsidRDefault="003E2B0A" w:rsidP="003E2B0A">
      <w:pPr>
        <w:jc w:val="both"/>
      </w:pPr>
      <w:r w:rsidRPr="003E2B0A">
        <w:t xml:space="preserve">The Minimum Dietary Diversity for Women (MDD-W) indicator measures the diversity of food groups consumed by women of reproductive age. In 2024, there was a notable improvement in the percentage of women consuming five or more food groups, rising from 9.7% in 2023 to 28.0%. This improvement is credited to the implementation of community-level Maternal, Infant, and Young Child Nutrition (MIYCN) interventions across more than 50% of the Community Units (CUs) in Isiolo County. Among the food groups, grains and white roots/tubers were the </w:t>
      </w:r>
      <w:proofErr w:type="gramStart"/>
      <w:r w:rsidRPr="003E2B0A">
        <w:t>most commonly consumed</w:t>
      </w:r>
      <w:proofErr w:type="gramEnd"/>
      <w:r w:rsidRPr="003E2B0A">
        <w:t xml:space="preserve">, with 98.4% of women including them in their </w:t>
      </w:r>
      <w:r w:rsidRPr="003E2B0A">
        <w:t>diets.</w:t>
      </w:r>
    </w:p>
    <w:p w14:paraId="28653688" w14:textId="46F59F2C" w:rsidR="00B8212A" w:rsidRDefault="00B8212A" w:rsidP="00B8212A">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r>
        <w:rPr>
          <w:b/>
        </w:rPr>
        <w:t xml:space="preserve">Table </w:t>
      </w:r>
      <w:r>
        <w:rPr>
          <w:b/>
        </w:rPr>
        <w:fldChar w:fldCharType="begin"/>
      </w:r>
      <w:r>
        <w:rPr>
          <w:b/>
        </w:rPr>
        <w:instrText>STYLEREF 1 \r</w:instrText>
      </w:r>
      <w:r>
        <w:rPr>
          <w:b/>
        </w:rPr>
        <w:fldChar w:fldCharType="separate"/>
      </w:r>
      <w:r>
        <w:rPr>
          <w:b/>
          <w:noProof/>
        </w:rPr>
        <w:t>10</w:t>
      </w:r>
      <w:r>
        <w:rPr>
          <w:b/>
        </w:rPr>
        <w:fldChar w:fldCharType="end"/>
      </w:r>
      <w:r>
        <w:rPr>
          <w:b/>
        </w:rPr>
        <w:t>-</w:t>
      </w:r>
      <w:r>
        <w:rPr>
          <w:b/>
        </w:rPr>
        <w:t>51</w:t>
      </w:r>
      <w:r>
        <w:rPr>
          <w:b/>
        </w:rPr>
        <w:t xml:space="preserve">: </w:t>
      </w:r>
      <w:r w:rsidRPr="00B8212A">
        <w:t>Percent of consumption of food groups by WRA</w:t>
      </w:r>
    </w:p>
    <w:tbl>
      <w:tblPr>
        <w:tblW w:w="5058" w:type="pct"/>
        <w:jc w:val="center"/>
        <w:tblLook w:val="0420" w:firstRow="1" w:lastRow="0" w:firstColumn="0" w:lastColumn="0" w:noHBand="0" w:noVBand="1"/>
      </w:tblPr>
      <w:tblGrid>
        <w:gridCol w:w="110"/>
        <w:gridCol w:w="4428"/>
        <w:gridCol w:w="263"/>
        <w:gridCol w:w="585"/>
        <w:gridCol w:w="235"/>
        <w:gridCol w:w="1600"/>
        <w:gridCol w:w="292"/>
        <w:gridCol w:w="1956"/>
      </w:tblGrid>
      <w:tr w:rsidR="00B8212A" w14:paraId="47C950A1" w14:textId="77777777" w:rsidTr="00B8212A">
        <w:trPr>
          <w:tblHeader/>
          <w:jc w:val="center"/>
        </w:trPr>
        <w:tc>
          <w:tcPr>
            <w:tcW w:w="2535" w:type="pct"/>
            <w:gridSpan w:val="3"/>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1BC27959" w14:textId="77777777" w:rsidR="00B8212A" w:rsidRPr="00B8212A" w:rsidRDefault="00B8212A" w:rsidP="00F8644F">
            <w:pPr>
              <w:pBdr>
                <w:top w:val="none" w:sz="0" w:space="0" w:color="000000"/>
                <w:left w:val="none" w:sz="0" w:space="0" w:color="000000"/>
                <w:bottom w:val="none" w:sz="0" w:space="0" w:color="000000"/>
                <w:right w:val="none" w:sz="0" w:space="0" w:color="000000"/>
              </w:pBdr>
              <w:spacing w:before="40" w:after="40"/>
              <w:ind w:left="40" w:right="40"/>
              <w:rPr>
                <w:rFonts w:asciiTheme="minorHAnsi" w:hAnsiTheme="minorHAnsi" w:cstheme="minorHAnsi"/>
              </w:rPr>
            </w:pPr>
            <w:r w:rsidRPr="00B8212A">
              <w:rPr>
                <w:rFonts w:asciiTheme="minorHAnsi" w:eastAsia="DejaVu Sans" w:hAnsiTheme="minorHAnsi" w:cstheme="minorHAnsi"/>
                <w:b/>
                <w:color w:val="FFFFFF"/>
                <w:sz w:val="22"/>
                <w:szCs w:val="22"/>
              </w:rPr>
              <w:t>Level</w:t>
            </w:r>
          </w:p>
        </w:tc>
        <w:tc>
          <w:tcPr>
            <w:tcW w:w="433" w:type="pct"/>
            <w:gridSpan w:val="2"/>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EB6178A" w14:textId="77777777" w:rsidR="00B8212A" w:rsidRPr="00B8212A" w:rsidRDefault="00B8212A" w:rsidP="00F8644F">
            <w:pPr>
              <w:pBdr>
                <w:top w:val="none" w:sz="0" w:space="0" w:color="000000"/>
                <w:left w:val="none" w:sz="0" w:space="0" w:color="000000"/>
                <w:bottom w:val="none" w:sz="0" w:space="0" w:color="000000"/>
                <w:right w:val="none" w:sz="0" w:space="0" w:color="000000"/>
              </w:pBdr>
              <w:spacing w:before="40" w:after="40"/>
              <w:ind w:left="40" w:right="40"/>
              <w:jc w:val="center"/>
              <w:rPr>
                <w:rFonts w:asciiTheme="minorHAnsi" w:hAnsiTheme="minorHAnsi" w:cstheme="minorHAnsi"/>
              </w:rPr>
            </w:pPr>
            <w:r w:rsidRPr="00B8212A">
              <w:rPr>
                <w:rFonts w:asciiTheme="minorHAnsi" w:eastAsia="DejaVu Sans" w:hAnsiTheme="minorHAnsi" w:cstheme="minorHAnsi"/>
                <w:b/>
                <w:color w:val="FFFFFF"/>
                <w:sz w:val="22"/>
                <w:szCs w:val="22"/>
              </w:rPr>
              <w:t>Freq.</w:t>
            </w:r>
          </w:p>
        </w:tc>
        <w:tc>
          <w:tcPr>
            <w:tcW w:w="845" w:type="pct"/>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7AB1B231" w14:textId="77777777" w:rsidR="00B8212A" w:rsidRPr="00B8212A" w:rsidRDefault="00B8212A" w:rsidP="00F8644F">
            <w:pPr>
              <w:pBdr>
                <w:top w:val="none" w:sz="0" w:space="0" w:color="000000"/>
                <w:left w:val="none" w:sz="0" w:space="0" w:color="000000"/>
                <w:bottom w:val="none" w:sz="0" w:space="0" w:color="000000"/>
                <w:right w:val="none" w:sz="0" w:space="0" w:color="000000"/>
              </w:pBdr>
              <w:spacing w:before="40" w:after="40"/>
              <w:ind w:left="40" w:right="40"/>
              <w:jc w:val="center"/>
              <w:rPr>
                <w:rFonts w:asciiTheme="minorHAnsi" w:hAnsiTheme="minorHAnsi" w:cstheme="minorHAnsi"/>
              </w:rPr>
            </w:pPr>
            <w:r w:rsidRPr="00B8212A">
              <w:rPr>
                <w:rFonts w:asciiTheme="minorHAnsi" w:eastAsia="DejaVu Sans" w:hAnsiTheme="minorHAnsi" w:cstheme="minorHAnsi"/>
                <w:b/>
                <w:color w:val="FFFFFF"/>
                <w:sz w:val="22"/>
                <w:szCs w:val="22"/>
              </w:rPr>
              <w:t>Proportion</w:t>
            </w:r>
          </w:p>
        </w:tc>
        <w:tc>
          <w:tcPr>
            <w:tcW w:w="1187" w:type="pct"/>
            <w:gridSpan w:val="2"/>
            <w:tcBorders>
              <w:top w:val="single" w:sz="12" w:space="0" w:color="666666"/>
              <w:left w:val="none" w:sz="0" w:space="0" w:color="000000"/>
              <w:bottom w:val="single" w:sz="12" w:space="0" w:color="666666"/>
              <w:right w:val="none" w:sz="0" w:space="0" w:color="000000"/>
            </w:tcBorders>
            <w:shd w:val="clear" w:color="auto" w:fill="363534"/>
            <w:tcMar>
              <w:top w:w="0" w:type="dxa"/>
              <w:left w:w="0" w:type="dxa"/>
              <w:bottom w:w="0" w:type="dxa"/>
              <w:right w:w="0" w:type="dxa"/>
            </w:tcMar>
            <w:vAlign w:val="center"/>
          </w:tcPr>
          <w:p w14:paraId="0E0DF053" w14:textId="77777777" w:rsidR="00B8212A" w:rsidRPr="00B8212A" w:rsidRDefault="00B8212A" w:rsidP="00F8644F">
            <w:pPr>
              <w:pBdr>
                <w:top w:val="none" w:sz="0" w:space="0" w:color="000000"/>
                <w:left w:val="none" w:sz="0" w:space="0" w:color="000000"/>
                <w:bottom w:val="none" w:sz="0" w:space="0" w:color="000000"/>
                <w:right w:val="none" w:sz="0" w:space="0" w:color="000000"/>
              </w:pBdr>
              <w:spacing w:before="40" w:after="40"/>
              <w:ind w:left="40" w:right="40"/>
              <w:jc w:val="center"/>
              <w:rPr>
                <w:rFonts w:asciiTheme="minorHAnsi" w:hAnsiTheme="minorHAnsi" w:cstheme="minorHAnsi"/>
              </w:rPr>
            </w:pPr>
            <w:r w:rsidRPr="00B8212A">
              <w:rPr>
                <w:rFonts w:asciiTheme="minorHAnsi" w:eastAsia="DejaVu Sans" w:hAnsiTheme="minorHAnsi" w:cstheme="minorHAnsi"/>
                <w:b/>
                <w:color w:val="FFFFFF"/>
                <w:sz w:val="22"/>
                <w:szCs w:val="22"/>
              </w:rPr>
              <w:t>95% CI</w:t>
            </w:r>
          </w:p>
        </w:tc>
      </w:tr>
      <w:tr w:rsidR="00B8212A" w:rsidRPr="00B8212A" w14:paraId="6B228536"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14E80568"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 xml:space="preserve">Grains, White Roots &amp; Tubers </w:t>
            </w:r>
          </w:p>
        </w:tc>
        <w:tc>
          <w:tcPr>
            <w:tcW w:w="448" w:type="pct"/>
            <w:gridSpan w:val="2"/>
            <w:shd w:val="clear" w:color="auto" w:fill="auto"/>
            <w:noWrap/>
            <w:vAlign w:val="bottom"/>
            <w:hideMark/>
          </w:tcPr>
          <w:p w14:paraId="2424286C"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552</w:t>
            </w:r>
          </w:p>
        </w:tc>
        <w:tc>
          <w:tcPr>
            <w:tcW w:w="1123" w:type="pct"/>
            <w:gridSpan w:val="3"/>
            <w:shd w:val="clear" w:color="auto" w:fill="auto"/>
            <w:noWrap/>
            <w:vAlign w:val="bottom"/>
            <w:hideMark/>
          </w:tcPr>
          <w:p w14:paraId="1A2F6F35"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98.40%</w:t>
            </w:r>
          </w:p>
        </w:tc>
        <w:tc>
          <w:tcPr>
            <w:tcW w:w="1033" w:type="pct"/>
            <w:shd w:val="clear" w:color="auto" w:fill="auto"/>
            <w:noWrap/>
            <w:vAlign w:val="bottom"/>
            <w:hideMark/>
          </w:tcPr>
          <w:p w14:paraId="28CA1208"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97.4%, 99.4%</w:t>
            </w:r>
          </w:p>
        </w:tc>
      </w:tr>
      <w:tr w:rsidR="00B8212A" w:rsidRPr="00B8212A" w14:paraId="3A6E9FB9"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265D4D53"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Legumes</w:t>
            </w:r>
          </w:p>
        </w:tc>
        <w:tc>
          <w:tcPr>
            <w:tcW w:w="448" w:type="pct"/>
            <w:gridSpan w:val="2"/>
            <w:shd w:val="clear" w:color="auto" w:fill="auto"/>
            <w:noWrap/>
            <w:vAlign w:val="bottom"/>
            <w:hideMark/>
          </w:tcPr>
          <w:p w14:paraId="646C216C"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379</w:t>
            </w:r>
          </w:p>
        </w:tc>
        <w:tc>
          <w:tcPr>
            <w:tcW w:w="1123" w:type="pct"/>
            <w:gridSpan w:val="3"/>
            <w:shd w:val="clear" w:color="auto" w:fill="auto"/>
            <w:noWrap/>
            <w:vAlign w:val="bottom"/>
            <w:hideMark/>
          </w:tcPr>
          <w:p w14:paraId="234B15E3"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67.60%</w:t>
            </w:r>
          </w:p>
        </w:tc>
        <w:tc>
          <w:tcPr>
            <w:tcW w:w="1033" w:type="pct"/>
            <w:shd w:val="clear" w:color="auto" w:fill="auto"/>
            <w:noWrap/>
            <w:vAlign w:val="bottom"/>
            <w:hideMark/>
          </w:tcPr>
          <w:p w14:paraId="12935D4A"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63.7%, 71.4%</w:t>
            </w:r>
          </w:p>
        </w:tc>
      </w:tr>
      <w:tr w:rsidR="00B8212A" w:rsidRPr="00B8212A" w14:paraId="586310BD"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40F24CC1"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Nuts &amp; Seeds</w:t>
            </w:r>
          </w:p>
        </w:tc>
        <w:tc>
          <w:tcPr>
            <w:tcW w:w="448" w:type="pct"/>
            <w:gridSpan w:val="2"/>
            <w:shd w:val="clear" w:color="auto" w:fill="auto"/>
            <w:noWrap/>
            <w:vAlign w:val="bottom"/>
            <w:hideMark/>
          </w:tcPr>
          <w:p w14:paraId="2A776C12"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49</w:t>
            </w:r>
          </w:p>
        </w:tc>
        <w:tc>
          <w:tcPr>
            <w:tcW w:w="1123" w:type="pct"/>
            <w:gridSpan w:val="3"/>
            <w:shd w:val="clear" w:color="auto" w:fill="auto"/>
            <w:noWrap/>
            <w:vAlign w:val="bottom"/>
            <w:hideMark/>
          </w:tcPr>
          <w:p w14:paraId="4279ADDB"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8.70%</w:t>
            </w:r>
          </w:p>
        </w:tc>
        <w:tc>
          <w:tcPr>
            <w:tcW w:w="1033" w:type="pct"/>
            <w:shd w:val="clear" w:color="auto" w:fill="auto"/>
            <w:noWrap/>
            <w:vAlign w:val="bottom"/>
            <w:hideMark/>
          </w:tcPr>
          <w:p w14:paraId="510F70B1"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6.4%, 11.1%</w:t>
            </w:r>
          </w:p>
        </w:tc>
      </w:tr>
      <w:tr w:rsidR="00B8212A" w:rsidRPr="00B8212A" w14:paraId="3EDCD77A"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6B8605B7"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Milk &amp; dairy products</w:t>
            </w:r>
          </w:p>
        </w:tc>
        <w:tc>
          <w:tcPr>
            <w:tcW w:w="448" w:type="pct"/>
            <w:gridSpan w:val="2"/>
            <w:shd w:val="clear" w:color="auto" w:fill="auto"/>
            <w:noWrap/>
            <w:vAlign w:val="bottom"/>
            <w:hideMark/>
          </w:tcPr>
          <w:p w14:paraId="0F961C45"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208</w:t>
            </w:r>
          </w:p>
        </w:tc>
        <w:tc>
          <w:tcPr>
            <w:tcW w:w="1123" w:type="pct"/>
            <w:gridSpan w:val="3"/>
            <w:shd w:val="clear" w:color="auto" w:fill="auto"/>
            <w:noWrap/>
            <w:vAlign w:val="bottom"/>
            <w:hideMark/>
          </w:tcPr>
          <w:p w14:paraId="0CC72E01"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37.10%</w:t>
            </w:r>
          </w:p>
        </w:tc>
        <w:tc>
          <w:tcPr>
            <w:tcW w:w="1033" w:type="pct"/>
            <w:shd w:val="clear" w:color="auto" w:fill="auto"/>
            <w:noWrap/>
            <w:vAlign w:val="bottom"/>
            <w:hideMark/>
          </w:tcPr>
          <w:p w14:paraId="503C92E9"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33.1%, 41.1%</w:t>
            </w:r>
          </w:p>
        </w:tc>
      </w:tr>
      <w:tr w:rsidR="00B8212A" w:rsidRPr="00B8212A" w14:paraId="7BA18A92"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39432D33"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Meat Poultry &amp; Fish</w:t>
            </w:r>
          </w:p>
        </w:tc>
        <w:tc>
          <w:tcPr>
            <w:tcW w:w="448" w:type="pct"/>
            <w:gridSpan w:val="2"/>
            <w:shd w:val="clear" w:color="auto" w:fill="auto"/>
            <w:noWrap/>
            <w:vAlign w:val="bottom"/>
            <w:hideMark/>
          </w:tcPr>
          <w:p w14:paraId="6129DB1C"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174</w:t>
            </w:r>
          </w:p>
        </w:tc>
        <w:tc>
          <w:tcPr>
            <w:tcW w:w="1123" w:type="pct"/>
            <w:gridSpan w:val="3"/>
            <w:shd w:val="clear" w:color="auto" w:fill="auto"/>
            <w:noWrap/>
            <w:vAlign w:val="bottom"/>
            <w:hideMark/>
          </w:tcPr>
          <w:p w14:paraId="1DC7BC5B"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31.00%</w:t>
            </w:r>
          </w:p>
        </w:tc>
        <w:tc>
          <w:tcPr>
            <w:tcW w:w="1033" w:type="pct"/>
            <w:shd w:val="clear" w:color="auto" w:fill="auto"/>
            <w:noWrap/>
            <w:vAlign w:val="bottom"/>
            <w:hideMark/>
          </w:tcPr>
          <w:p w14:paraId="1291BA37"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27.2% 34.8%</w:t>
            </w:r>
          </w:p>
        </w:tc>
      </w:tr>
      <w:tr w:rsidR="00B8212A" w:rsidRPr="00B8212A" w14:paraId="4C7B0279"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7F4E04E3"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Eggs</w:t>
            </w:r>
          </w:p>
        </w:tc>
        <w:tc>
          <w:tcPr>
            <w:tcW w:w="448" w:type="pct"/>
            <w:gridSpan w:val="2"/>
            <w:shd w:val="clear" w:color="auto" w:fill="auto"/>
            <w:noWrap/>
            <w:vAlign w:val="bottom"/>
            <w:hideMark/>
          </w:tcPr>
          <w:p w14:paraId="6F1E706C"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52</w:t>
            </w:r>
          </w:p>
        </w:tc>
        <w:tc>
          <w:tcPr>
            <w:tcW w:w="1123" w:type="pct"/>
            <w:gridSpan w:val="3"/>
            <w:shd w:val="clear" w:color="auto" w:fill="auto"/>
            <w:noWrap/>
            <w:vAlign w:val="bottom"/>
            <w:hideMark/>
          </w:tcPr>
          <w:p w14:paraId="7DCBD817"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9.30%</w:t>
            </w:r>
          </w:p>
        </w:tc>
        <w:tc>
          <w:tcPr>
            <w:tcW w:w="1033" w:type="pct"/>
            <w:shd w:val="clear" w:color="auto" w:fill="auto"/>
            <w:noWrap/>
            <w:vAlign w:val="bottom"/>
            <w:hideMark/>
          </w:tcPr>
          <w:p w14:paraId="102DEA1D"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6.9%, 11.7%</w:t>
            </w:r>
          </w:p>
        </w:tc>
      </w:tr>
      <w:tr w:rsidR="00B8212A" w:rsidRPr="00B8212A" w14:paraId="4517E231"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261AAEAE"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Dark Green Leafy Vegetables</w:t>
            </w:r>
          </w:p>
        </w:tc>
        <w:tc>
          <w:tcPr>
            <w:tcW w:w="448" w:type="pct"/>
            <w:gridSpan w:val="2"/>
            <w:shd w:val="clear" w:color="auto" w:fill="auto"/>
            <w:noWrap/>
            <w:vAlign w:val="bottom"/>
            <w:hideMark/>
          </w:tcPr>
          <w:p w14:paraId="68AC1111"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226</w:t>
            </w:r>
          </w:p>
        </w:tc>
        <w:tc>
          <w:tcPr>
            <w:tcW w:w="1123" w:type="pct"/>
            <w:gridSpan w:val="3"/>
            <w:shd w:val="clear" w:color="auto" w:fill="auto"/>
            <w:noWrap/>
            <w:vAlign w:val="bottom"/>
            <w:hideMark/>
          </w:tcPr>
          <w:p w14:paraId="2C179A6F"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40.30%</w:t>
            </w:r>
          </w:p>
        </w:tc>
        <w:tc>
          <w:tcPr>
            <w:tcW w:w="1033" w:type="pct"/>
            <w:shd w:val="clear" w:color="auto" w:fill="auto"/>
            <w:noWrap/>
            <w:vAlign w:val="bottom"/>
            <w:hideMark/>
          </w:tcPr>
          <w:p w14:paraId="208C6553"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36.2%, 44.3%</w:t>
            </w:r>
          </w:p>
        </w:tc>
      </w:tr>
      <w:tr w:rsidR="00B8212A" w:rsidRPr="00B8212A" w14:paraId="6B503811"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404D3EC1"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Other Vitamin A Rich Fruits &amp; Vegetables</w:t>
            </w:r>
          </w:p>
        </w:tc>
        <w:tc>
          <w:tcPr>
            <w:tcW w:w="448" w:type="pct"/>
            <w:gridSpan w:val="2"/>
            <w:shd w:val="clear" w:color="auto" w:fill="auto"/>
            <w:noWrap/>
            <w:vAlign w:val="bottom"/>
            <w:hideMark/>
          </w:tcPr>
          <w:p w14:paraId="6E6D3A7E"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154</w:t>
            </w:r>
          </w:p>
        </w:tc>
        <w:tc>
          <w:tcPr>
            <w:tcW w:w="1123" w:type="pct"/>
            <w:gridSpan w:val="3"/>
            <w:shd w:val="clear" w:color="auto" w:fill="auto"/>
            <w:noWrap/>
            <w:vAlign w:val="bottom"/>
            <w:hideMark/>
          </w:tcPr>
          <w:p w14:paraId="6F69DF71"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27.50%</w:t>
            </w:r>
          </w:p>
        </w:tc>
        <w:tc>
          <w:tcPr>
            <w:tcW w:w="1033" w:type="pct"/>
            <w:shd w:val="clear" w:color="auto" w:fill="auto"/>
            <w:noWrap/>
            <w:vAlign w:val="bottom"/>
            <w:hideMark/>
          </w:tcPr>
          <w:p w14:paraId="4BADF301"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23.8%, 31.1%</w:t>
            </w:r>
          </w:p>
        </w:tc>
      </w:tr>
      <w:tr w:rsidR="00B8212A" w:rsidRPr="00B8212A" w14:paraId="11E88ECF" w14:textId="77777777" w:rsidTr="00B8212A">
        <w:tblPrEx>
          <w:jc w:val="left"/>
          <w:tblLook w:val="04A0" w:firstRow="1" w:lastRow="0" w:firstColumn="1" w:lastColumn="0" w:noHBand="0" w:noVBand="1"/>
        </w:tblPrEx>
        <w:trPr>
          <w:gridBefore w:val="1"/>
          <w:wBefore w:w="58" w:type="pct"/>
          <w:trHeight w:val="300"/>
        </w:trPr>
        <w:tc>
          <w:tcPr>
            <w:tcW w:w="2338" w:type="pct"/>
            <w:shd w:val="clear" w:color="auto" w:fill="auto"/>
            <w:noWrap/>
            <w:vAlign w:val="bottom"/>
            <w:hideMark/>
          </w:tcPr>
          <w:p w14:paraId="7F83C1AF"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Other vegetables</w:t>
            </w:r>
          </w:p>
        </w:tc>
        <w:tc>
          <w:tcPr>
            <w:tcW w:w="448" w:type="pct"/>
            <w:gridSpan w:val="2"/>
            <w:shd w:val="clear" w:color="auto" w:fill="auto"/>
            <w:noWrap/>
            <w:vAlign w:val="bottom"/>
            <w:hideMark/>
          </w:tcPr>
          <w:p w14:paraId="7CAA4AC9"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211</w:t>
            </w:r>
          </w:p>
        </w:tc>
        <w:tc>
          <w:tcPr>
            <w:tcW w:w="1123" w:type="pct"/>
            <w:gridSpan w:val="3"/>
            <w:shd w:val="clear" w:color="auto" w:fill="auto"/>
            <w:noWrap/>
            <w:vAlign w:val="bottom"/>
            <w:hideMark/>
          </w:tcPr>
          <w:p w14:paraId="2C03F6BC"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37.60%</w:t>
            </w:r>
          </w:p>
        </w:tc>
        <w:tc>
          <w:tcPr>
            <w:tcW w:w="1033" w:type="pct"/>
            <w:shd w:val="clear" w:color="auto" w:fill="auto"/>
            <w:noWrap/>
            <w:vAlign w:val="bottom"/>
            <w:hideMark/>
          </w:tcPr>
          <w:p w14:paraId="2F1D4B90"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33.6%, 41.6%</w:t>
            </w:r>
          </w:p>
        </w:tc>
      </w:tr>
      <w:tr w:rsidR="00B8212A" w:rsidRPr="00B8212A" w14:paraId="5EA70D00" w14:textId="77777777" w:rsidTr="00B8212A">
        <w:tblPrEx>
          <w:jc w:val="left"/>
          <w:tblLook w:val="04A0" w:firstRow="1" w:lastRow="0" w:firstColumn="1" w:lastColumn="0" w:noHBand="0" w:noVBand="1"/>
        </w:tblPrEx>
        <w:trPr>
          <w:gridBefore w:val="1"/>
          <w:wBefore w:w="58" w:type="pct"/>
          <w:trHeight w:val="300"/>
        </w:trPr>
        <w:tc>
          <w:tcPr>
            <w:tcW w:w="2338" w:type="pct"/>
            <w:tcBorders>
              <w:bottom w:val="single" w:sz="4" w:space="0" w:color="auto"/>
            </w:tcBorders>
            <w:shd w:val="clear" w:color="auto" w:fill="auto"/>
            <w:noWrap/>
            <w:vAlign w:val="bottom"/>
            <w:hideMark/>
          </w:tcPr>
          <w:p w14:paraId="21BB5738"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Other fruits</w:t>
            </w:r>
          </w:p>
        </w:tc>
        <w:tc>
          <w:tcPr>
            <w:tcW w:w="448" w:type="pct"/>
            <w:gridSpan w:val="2"/>
            <w:tcBorders>
              <w:bottom w:val="single" w:sz="4" w:space="0" w:color="auto"/>
            </w:tcBorders>
            <w:shd w:val="clear" w:color="auto" w:fill="auto"/>
            <w:noWrap/>
            <w:vAlign w:val="bottom"/>
            <w:hideMark/>
          </w:tcPr>
          <w:p w14:paraId="2B0DC5C7" w14:textId="77777777" w:rsidR="00B8212A" w:rsidRPr="00B8212A" w:rsidRDefault="00B8212A" w:rsidP="00B8212A">
            <w:pPr>
              <w:spacing w:before="0" w:after="0"/>
              <w:jc w:val="right"/>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131</w:t>
            </w:r>
          </w:p>
        </w:tc>
        <w:tc>
          <w:tcPr>
            <w:tcW w:w="1123" w:type="pct"/>
            <w:gridSpan w:val="3"/>
            <w:tcBorders>
              <w:bottom w:val="single" w:sz="4" w:space="0" w:color="auto"/>
            </w:tcBorders>
            <w:shd w:val="clear" w:color="auto" w:fill="auto"/>
            <w:noWrap/>
            <w:vAlign w:val="bottom"/>
            <w:hideMark/>
          </w:tcPr>
          <w:p w14:paraId="4A69333E" w14:textId="77777777" w:rsidR="00B8212A" w:rsidRPr="00B8212A" w:rsidRDefault="00B8212A" w:rsidP="00B8212A">
            <w:pPr>
              <w:spacing w:before="0" w:after="0"/>
              <w:jc w:val="center"/>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23.40%</w:t>
            </w:r>
          </w:p>
        </w:tc>
        <w:tc>
          <w:tcPr>
            <w:tcW w:w="1033" w:type="pct"/>
            <w:tcBorders>
              <w:bottom w:val="single" w:sz="4" w:space="0" w:color="auto"/>
            </w:tcBorders>
            <w:shd w:val="clear" w:color="auto" w:fill="auto"/>
            <w:noWrap/>
            <w:vAlign w:val="bottom"/>
            <w:hideMark/>
          </w:tcPr>
          <w:p w14:paraId="40DFA418" w14:textId="77777777" w:rsidR="00B8212A" w:rsidRPr="00B8212A" w:rsidRDefault="00B8212A" w:rsidP="00B8212A">
            <w:pPr>
              <w:spacing w:before="0" w:after="0"/>
              <w:rPr>
                <w:rFonts w:asciiTheme="minorHAnsi" w:eastAsia="Times New Roman" w:hAnsiTheme="minorHAnsi" w:cstheme="minorHAnsi"/>
                <w:sz w:val="22"/>
                <w:szCs w:val="22"/>
                <w:lang w:val="en-KE" w:eastAsia="en-KE"/>
              </w:rPr>
            </w:pPr>
            <w:r w:rsidRPr="00B8212A">
              <w:rPr>
                <w:rFonts w:asciiTheme="minorHAnsi" w:eastAsia="Times New Roman" w:hAnsiTheme="minorHAnsi" w:cstheme="minorHAnsi"/>
                <w:sz w:val="22"/>
                <w:szCs w:val="22"/>
                <w:lang w:val="en-KE" w:eastAsia="en-KE"/>
              </w:rPr>
              <w:t>19.9%, 26.9%</w:t>
            </w:r>
          </w:p>
        </w:tc>
      </w:tr>
    </w:tbl>
    <w:p w14:paraId="72777B26" w14:textId="77777777" w:rsidR="00922B17" w:rsidRDefault="00922B17"/>
    <w:p w14:paraId="121BD8E4" w14:textId="77777777" w:rsidR="00922B17" w:rsidRDefault="00922B17"/>
    <w:p w14:paraId="713E005F" w14:textId="6CBC6281" w:rsidR="00BC28CE" w:rsidRDefault="00000000">
      <w:r>
        <w:br/>
      </w:r>
    </w:p>
    <w:p w14:paraId="03565799" w14:textId="77777777" w:rsidR="00196897" w:rsidRDefault="00196897">
      <w:pPr>
        <w:pStyle w:val="Heading1"/>
        <w:sectPr w:rsidR="00196897" w:rsidSect="0088658D">
          <w:type w:val="continuous"/>
          <w:pgSz w:w="12240" w:h="15840"/>
          <w:pgMar w:top="1440" w:right="1440" w:bottom="1440" w:left="1440" w:header="708" w:footer="708" w:gutter="0"/>
          <w:cols w:space="708"/>
          <w:titlePg/>
          <w:docGrid w:linePitch="360"/>
        </w:sectPr>
      </w:pPr>
      <w:bookmarkStart w:id="205" w:name="discussion"/>
      <w:bookmarkStart w:id="206" w:name="_Toc161945699"/>
      <w:bookmarkEnd w:id="70"/>
      <w:bookmarkEnd w:id="127"/>
      <w:bookmarkEnd w:id="193"/>
      <w:bookmarkEnd w:id="199"/>
    </w:p>
    <w:p w14:paraId="72A130F3" w14:textId="77777777" w:rsidR="00BC28CE" w:rsidRDefault="00000000">
      <w:pPr>
        <w:pStyle w:val="Heading1"/>
      </w:pPr>
      <w:r>
        <w:lastRenderedPageBreak/>
        <w:t>Discussion</w:t>
      </w:r>
      <w:bookmarkEnd w:id="206"/>
    </w:p>
    <w:p w14:paraId="2CDFBE9C" w14:textId="1E62571A" w:rsidR="00BC28CE" w:rsidRDefault="00000000">
      <w:pPr>
        <w:pStyle w:val="Heading2"/>
        <w:rPr>
          <w:i w:val="0"/>
          <w:iCs/>
        </w:rPr>
      </w:pPr>
      <w:bookmarkStart w:id="207" w:name="nutritional-status-of-the-province"/>
      <w:bookmarkStart w:id="208" w:name="_Toc161945700"/>
      <w:r w:rsidRPr="00E6265D">
        <w:rPr>
          <w:i w:val="0"/>
          <w:iCs/>
        </w:rPr>
        <w:t xml:space="preserve">Nutritional Status of the </w:t>
      </w:r>
      <w:bookmarkEnd w:id="208"/>
      <w:r w:rsidR="00E6265D" w:rsidRPr="00E6265D">
        <w:rPr>
          <w:i w:val="0"/>
          <w:iCs/>
        </w:rPr>
        <w:t>county</w:t>
      </w:r>
    </w:p>
    <w:p w14:paraId="37837830" w14:textId="77777777" w:rsidR="00722594" w:rsidRDefault="00722594" w:rsidP="00722594">
      <w:pPr>
        <w:jc w:val="both"/>
      </w:pPr>
      <w:r>
        <w:t>The nutritional status of Isiolo County, as revealed by the most recent survey conducted in February 2024, indicates a Global Acute Malnutrition (GAM) prevalence of 13.7% (with a 95% confidence interval of 10.6-17.7%) and a Severe Acute Malnutrition (SAM) prevalence of 2.3% (with a 95% confidence interval of 1.3-4%). According to the UNICEF/WHO 2018 classification of acute malnutrition, the GAM prevalence falls within the "high" category. Comparing these findings to the previous SMART survey conducted in 2023, which unveiled a GAM prevalence of 15.4%, suggests a slight improvement in the nutrition status of children in the county.</w:t>
      </w:r>
    </w:p>
    <w:p w14:paraId="14BF3B6A" w14:textId="77777777" w:rsidR="00722594" w:rsidRDefault="00722594" w:rsidP="00722594">
      <w:pPr>
        <w:jc w:val="both"/>
      </w:pPr>
      <w:r>
        <w:t>Further analysis reveals that the GAM prevalence by weight-for-height z-score (WHZ&lt;-2SD) decreased slightly from 15.4% in 2023 to 13.7% in 2024, although this decrease was not statistically significant (p value=0.466). Similarly, the SAM prevalence by WHZ&lt;-3SD decreased from 3.1% in 2023 to 2.3% in 2024, though this decrease was also not statistically significant (p=0.450).</w:t>
      </w:r>
    </w:p>
    <w:p w14:paraId="304D2A62" w14:textId="2A908377" w:rsidR="00722594" w:rsidRDefault="00722594" w:rsidP="00722594">
      <w:pPr>
        <w:jc w:val="both"/>
      </w:pPr>
      <w:r>
        <w:t xml:space="preserve">This slight decrease in GAM and SAM prevalence could be attributed to various interventions implemented in the county. Heightened case finding and treatment at the community level through initiatives such as family Mid-Upper Arm Circumference (MUAC) screenings and mass screenings have likely contributed to early detection and management of malnutrition cases. Additionally, active case </w:t>
      </w:r>
      <w:r>
        <w:t>finding,</w:t>
      </w:r>
      <w:r>
        <w:t xml:space="preserve"> and integrated medical outreaches have facilitated access to healthcare services for vulnerable populations. The implementation of cash transfer programs, which prioritize households with malnourished children, has also likely played a role in reducing malnutrition prevalence by improving households' purchasing power and access to nutritious foods.</w:t>
      </w:r>
    </w:p>
    <w:p w14:paraId="7B5B2400" w14:textId="44CA62B2" w:rsidR="00722594" w:rsidRPr="00722594" w:rsidRDefault="00722594" w:rsidP="00722594">
      <w:pPr>
        <w:jc w:val="both"/>
      </w:pPr>
      <w:r>
        <w:t>Overall, while there has been some improvement in the nutritional status of children in Isiolo County, continued efforts and sustained interventions are necessary to further reduce malnutrition prevalence and ensure the well-being of the county's population.</w:t>
      </w:r>
    </w:p>
    <w:p w14:paraId="0EC50FC3"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09" w:name="_Toc161945760"/>
      <w:r>
        <w:rPr>
          <w:b/>
        </w:rPr>
        <w:t xml:space="preserve">Table </w:t>
      </w:r>
      <w:bookmarkStart w:id="210" w:name="compare-gam-sam-restrictions"/>
      <w:r>
        <w:rPr>
          <w:b/>
        </w:rPr>
        <w:fldChar w:fldCharType="begin"/>
      </w:r>
      <w:r>
        <w:rPr>
          <w:b/>
        </w:rPr>
        <w:instrText>STYLEREF 1 \r</w:instrText>
      </w:r>
      <w:r w:rsidR="00822E50">
        <w:rPr>
          <w:b/>
        </w:rPr>
        <w:fldChar w:fldCharType="separate"/>
      </w:r>
      <w:r w:rsidR="00822E50">
        <w:rPr>
          <w:b/>
          <w:noProof/>
        </w:rPr>
        <w:t>11</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51</w:t>
      </w:r>
      <w:r>
        <w:rPr>
          <w:b/>
        </w:rPr>
        <w:fldChar w:fldCharType="end"/>
      </w:r>
      <w:bookmarkEnd w:id="210"/>
      <w:r>
        <w:rPr>
          <w:b/>
        </w:rPr>
        <w:t xml:space="preserve">: </w:t>
      </w:r>
      <w:r>
        <w:t>Prevalence of GAM by WHZ Comparing the 0-59 Month to the 6-59 Month Sample</w:t>
      </w:r>
      <w:bookmarkEnd w:id="209"/>
    </w:p>
    <w:tbl>
      <w:tblPr>
        <w:tblW w:w="5000" w:type="pct"/>
        <w:jc w:val="center"/>
        <w:tblLook w:val="0420" w:firstRow="1" w:lastRow="0" w:firstColumn="0" w:lastColumn="0" w:noHBand="0" w:noVBand="1"/>
      </w:tblPr>
      <w:tblGrid>
        <w:gridCol w:w="3054"/>
        <w:gridCol w:w="1091"/>
        <w:gridCol w:w="2296"/>
        <w:gridCol w:w="928"/>
        <w:gridCol w:w="1971"/>
      </w:tblGrid>
      <w:tr w:rsidR="00BC28CE" w14:paraId="3F0B8588" w14:textId="77777777" w:rsidTr="00656353">
        <w:trPr>
          <w:tblHeader/>
          <w:jc w:val="center"/>
        </w:trPr>
        <w:tc>
          <w:tcPr>
            <w:tcW w:w="1635" w:type="pct"/>
            <w:vMerge w:val="restar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8FA614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Arial" w:eastAsia="DejaVu Sans" w:hAnsi="DejaVu Sans" w:cs="DejaVu Sans"/>
                <w:b/>
                <w:color w:val="FFFFFF"/>
                <w:sz w:val="20"/>
                <w:szCs w:val="20"/>
              </w:rPr>
              <w:t>Sample</w:t>
            </w:r>
          </w:p>
        </w:tc>
        <w:tc>
          <w:tcPr>
            <w:tcW w:w="1813"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87234B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GAM by WHZ</w:t>
            </w:r>
          </w:p>
        </w:tc>
        <w:tc>
          <w:tcPr>
            <w:tcW w:w="1552" w:type="pct"/>
            <w:gridSpan w:val="2"/>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05DF1A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SAM by WHZ</w:t>
            </w:r>
          </w:p>
        </w:tc>
      </w:tr>
      <w:tr w:rsidR="00BC28CE" w14:paraId="66997BBD" w14:textId="77777777" w:rsidTr="00656353">
        <w:trPr>
          <w:tblHeader/>
          <w:jc w:val="center"/>
        </w:trPr>
        <w:tc>
          <w:tcPr>
            <w:tcW w:w="1635" w:type="pct"/>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0E764B"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584"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DDCE47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000000"/>
                <w:sz w:val="20"/>
                <w:szCs w:val="20"/>
              </w:rPr>
              <w:t>%</w:t>
            </w:r>
          </w:p>
        </w:tc>
        <w:tc>
          <w:tcPr>
            <w:tcW w:w="1229"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E34FB6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000000"/>
                <w:sz w:val="20"/>
                <w:szCs w:val="20"/>
              </w:rPr>
              <w:t>95% CI</w:t>
            </w:r>
          </w:p>
        </w:tc>
        <w:tc>
          <w:tcPr>
            <w:tcW w:w="497"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19C656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000000"/>
                <w:sz w:val="20"/>
                <w:szCs w:val="20"/>
              </w:rPr>
              <w:t>%</w:t>
            </w:r>
          </w:p>
        </w:tc>
        <w:tc>
          <w:tcPr>
            <w:tcW w:w="1055" w:type="pct"/>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37EBA804"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000000"/>
                <w:sz w:val="20"/>
                <w:szCs w:val="20"/>
              </w:rPr>
              <w:t>95% CI</w:t>
            </w:r>
          </w:p>
        </w:tc>
      </w:tr>
      <w:tr w:rsidR="00BC28CE" w14:paraId="3913A386" w14:textId="77777777" w:rsidTr="00656353">
        <w:trPr>
          <w:jc w:val="center"/>
        </w:trPr>
        <w:tc>
          <w:tcPr>
            <w:tcW w:w="163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B7E6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Children 6-59 Months</w:t>
            </w:r>
          </w:p>
        </w:tc>
        <w:tc>
          <w:tcPr>
            <w:tcW w:w="58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2549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13.7%</w:t>
            </w:r>
          </w:p>
        </w:tc>
        <w:tc>
          <w:tcPr>
            <w:tcW w:w="122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84B2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(10.6%,</w:t>
            </w:r>
            <w:r>
              <w:rPr>
                <w:rFonts w:ascii="Arial" w:eastAsia="DejaVu Sans" w:hAnsi="DejaVu Sans" w:cs="DejaVu Sans"/>
                <w:color w:val="000000"/>
                <w:sz w:val="20"/>
                <w:szCs w:val="20"/>
              </w:rPr>
              <w:t> </w:t>
            </w:r>
            <w:r>
              <w:rPr>
                <w:rFonts w:ascii="Arial" w:eastAsia="DejaVu Sans" w:hAnsi="DejaVu Sans" w:cs="DejaVu Sans"/>
                <w:color w:val="000000"/>
                <w:sz w:val="20"/>
                <w:szCs w:val="20"/>
              </w:rPr>
              <w:t>17.7%)</w:t>
            </w:r>
          </w:p>
        </w:tc>
        <w:tc>
          <w:tcPr>
            <w:tcW w:w="49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6C726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2.3%</w:t>
            </w:r>
          </w:p>
        </w:tc>
        <w:tc>
          <w:tcPr>
            <w:tcW w:w="1055"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1761E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(1.3%,</w:t>
            </w:r>
            <w:r>
              <w:rPr>
                <w:rFonts w:ascii="Arial" w:eastAsia="DejaVu Sans" w:hAnsi="DejaVu Sans" w:cs="DejaVu Sans"/>
                <w:color w:val="000000"/>
                <w:sz w:val="20"/>
                <w:szCs w:val="20"/>
              </w:rPr>
              <w:t> </w:t>
            </w:r>
            <w:r>
              <w:rPr>
                <w:rFonts w:ascii="Arial" w:eastAsia="DejaVu Sans" w:hAnsi="DejaVu Sans" w:cs="DejaVu Sans"/>
                <w:color w:val="000000"/>
                <w:sz w:val="20"/>
                <w:szCs w:val="20"/>
              </w:rPr>
              <w:t>4.0%)</w:t>
            </w:r>
          </w:p>
        </w:tc>
      </w:tr>
    </w:tbl>
    <w:p w14:paraId="417525E5" w14:textId="77777777" w:rsidR="00BC28CE" w:rsidRPr="0084365F" w:rsidRDefault="00000000">
      <w:pPr>
        <w:pStyle w:val="Heading2"/>
        <w:rPr>
          <w:i w:val="0"/>
          <w:iCs/>
        </w:rPr>
      </w:pPr>
      <w:bookmarkStart w:id="211" w:name="determinants-of-malnutrition"/>
      <w:bookmarkStart w:id="212" w:name="_Toc161945701"/>
      <w:bookmarkEnd w:id="207"/>
      <w:r w:rsidRPr="0084365F">
        <w:rPr>
          <w:i w:val="0"/>
          <w:iCs/>
        </w:rPr>
        <w:t>Determinants of Malnutrition</w:t>
      </w:r>
      <w:bookmarkEnd w:id="212"/>
    </w:p>
    <w:p w14:paraId="4C8E7A8A" w14:textId="105DFB2A" w:rsidR="0084365F" w:rsidRDefault="0084365F" w:rsidP="0084365F">
      <w:pPr>
        <w:jc w:val="both"/>
      </w:pPr>
      <w:r>
        <w:t>T</w:t>
      </w:r>
      <w:r>
        <w:t>he determinant of malnutrition in Isiolo County encompasses a range of immediate, underlying, and basic causes, each contributing to the prevalence of malnutrition among its population.</w:t>
      </w:r>
    </w:p>
    <w:p w14:paraId="40C7893C" w14:textId="77777777" w:rsidR="0084365F" w:rsidRDefault="0084365F" w:rsidP="0084365F">
      <w:pPr>
        <w:jc w:val="both"/>
      </w:pPr>
      <w:r>
        <w:t xml:space="preserve">Immediate causes primarily stem from inadequate food consumption and diseases. Despite efforts to improve nutrition, significant proportions of the population fall short of meeting dietary diversity and meal frequency requirements, with only 38.8% meeting the Minimum Dietary </w:t>
      </w:r>
      <w:r>
        <w:lastRenderedPageBreak/>
        <w:t>Diversity (MDD) threshold and 32.7% meeting the Minimum Meal Frequency (MMF) threshold. Additionally, the prevalence of diseases such as diarrhoea (20.3%), malaria/fever (36.4%), and Acute Respiratory Infection (ARI) (5.8%) exacerbates malnutrition by affecting nutrient absorption and increasing metabolic demands.</w:t>
      </w:r>
    </w:p>
    <w:p w14:paraId="13F62914" w14:textId="6DCDF101" w:rsidR="0084365F" w:rsidRDefault="0084365F" w:rsidP="0084365F">
      <w:pPr>
        <w:jc w:val="both"/>
      </w:pPr>
      <w:r>
        <w:t xml:space="preserve">Underlying causes further compound the issue, including food security dimensions, </w:t>
      </w:r>
      <w:proofErr w:type="gramStart"/>
      <w:r>
        <w:t>caring</w:t>
      </w:r>
      <w:proofErr w:type="gramEnd"/>
      <w:r>
        <w:t xml:space="preserve"> and feeding practices, and access to health services and environmental health. Acute food insecurity and reduced coping strategies indicate limited access to adequate food and essential non-food expenditures, contributing to malnutrition. Suboptimal breastfeeding practices, such as exclusive breastfeeding under six months (80%), and delayed introduction of complementary foods (68.8%), also contribute to nutritional deficiencies. Limited access to essential health services and poor environmental health further </w:t>
      </w:r>
      <w:r>
        <w:t>exacerbates</w:t>
      </w:r>
      <w:r>
        <w:t xml:space="preserve"> the problem.</w:t>
      </w:r>
    </w:p>
    <w:p w14:paraId="469D059F" w14:textId="77777777" w:rsidR="0084365F" w:rsidRDefault="0084365F" w:rsidP="0084365F">
      <w:pPr>
        <w:jc w:val="both"/>
      </w:pPr>
      <w:r>
        <w:t>Basic causes, such as unusual shocks like floods, can disrupt food security, access to healthcare, and overall well-being, further worsening malnutrition.</w:t>
      </w:r>
    </w:p>
    <w:p w14:paraId="041E549A" w14:textId="77777777" w:rsidR="0084365F" w:rsidRDefault="0084365F" w:rsidP="0084365F">
      <w:pPr>
        <w:jc w:val="both"/>
      </w:pPr>
      <w:r>
        <w:t>The prospects for the coming months may vary depending on seasonal changes, environmental factors, and the effectiveness of interventions. Seasonal fluctuations, such as droughts or floods, may impact food availability and disease prevalence, affecting malnutrition rates. However, continued efforts to address underlying determinants and implement targeted interventions may mitigate the situation.</w:t>
      </w:r>
    </w:p>
    <w:p w14:paraId="11B6C8B4" w14:textId="77777777" w:rsidR="0084365F" w:rsidRDefault="0084365F" w:rsidP="0084365F">
      <w:pPr>
        <w:jc w:val="both"/>
      </w:pPr>
      <w:r>
        <w:t>Vulnerable populations, including children, pregnant and lactating women, and marginalized communities, are worst affected by malnutrition due to their heightened susceptibility and limited access to resources and services.</w:t>
      </w:r>
    </w:p>
    <w:p w14:paraId="6FF9C6EB" w14:textId="77777777" w:rsidR="0084365F" w:rsidRDefault="0084365F" w:rsidP="0084365F">
      <w:pPr>
        <w:jc w:val="both"/>
      </w:pPr>
      <w:r>
        <w:t>Chronic determinants of malnutrition, such as poverty, inadequate healthcare infrastructure, lack of education, and environmental factors like poor sanitation and unsafe drinking water, perpetuate the cycle of malnutrition in the long term.</w:t>
      </w:r>
    </w:p>
    <w:p w14:paraId="651085DB" w14:textId="360DCF74" w:rsidR="0084365F" w:rsidRDefault="0084365F" w:rsidP="0084365F">
      <w:pPr>
        <w:jc w:val="both"/>
      </w:pPr>
      <w:r>
        <w:t>To address malnutrition comprehensively, the community recommend</w:t>
      </w:r>
      <w:r>
        <w:t>ed</w:t>
      </w:r>
      <w:r>
        <w:t xml:space="preserve"> multi-sectoral approaches that prioritize improving food security, promoting optimal caring and feeding practices, enhancing access to healthcare services, and addressing environmental health issues. Community engagement, capacity-building initiatives, and collaboration between stakeholders are essential to implement sustainable solutions and improve the overall nutritional status of the population.</w:t>
      </w:r>
    </w:p>
    <w:p w14:paraId="170DE96E" w14:textId="77777777" w:rsidR="00BC28CE" w:rsidRDefault="00000000">
      <w:pPr>
        <w:numPr>
          <w:ilvl w:val="0"/>
          <w:numId w:val="34"/>
        </w:numPr>
      </w:pPr>
      <w:r>
        <w:t>A diagram to show the causal framework of malnutrition may be useful.</w:t>
      </w:r>
    </w:p>
    <w:p w14:paraId="0BC0DFE7" w14:textId="77777777" w:rsidR="00BC28CE" w:rsidRDefault="00000000">
      <w:pPr>
        <w:pStyle w:val="Heading3"/>
      </w:pPr>
      <w:bookmarkStart w:id="213" w:name="additional-indicators"/>
      <w:r>
        <w:t>Additional Indicators</w:t>
      </w:r>
    </w:p>
    <w:p w14:paraId="015A6A94" w14:textId="77777777" w:rsidR="00BC28CE" w:rsidRDefault="00000000">
      <w:r>
        <w:t>Provide a discussion for any additional indicators that were included in the survey.</w:t>
      </w:r>
    </w:p>
    <w:p w14:paraId="10A3ABDA" w14:textId="77777777" w:rsidR="0084365F" w:rsidRDefault="0084365F">
      <w:pPr>
        <w:pStyle w:val="Heading1"/>
        <w:sectPr w:rsidR="0084365F" w:rsidSect="0088658D">
          <w:pgSz w:w="12240" w:h="15840"/>
          <w:pgMar w:top="1440" w:right="1440" w:bottom="1440" w:left="1440" w:header="708" w:footer="708" w:gutter="0"/>
          <w:cols w:space="708"/>
          <w:titlePg/>
          <w:docGrid w:linePitch="360"/>
        </w:sectPr>
      </w:pPr>
      <w:bookmarkStart w:id="214" w:name="_Toc161945702"/>
      <w:bookmarkEnd w:id="205"/>
      <w:bookmarkEnd w:id="211"/>
      <w:bookmarkEnd w:id="213"/>
    </w:p>
    <w:p w14:paraId="04B75216" w14:textId="77777777" w:rsidR="00BC28CE" w:rsidRDefault="00000000">
      <w:pPr>
        <w:pStyle w:val="Heading1"/>
      </w:pPr>
      <w:r>
        <w:lastRenderedPageBreak/>
        <w:t>Conclusion and Recommendations</w:t>
      </w:r>
      <w:bookmarkEnd w:id="214"/>
    </w:p>
    <w:p w14:paraId="71F0D966" w14:textId="77777777" w:rsidR="0084365F" w:rsidRDefault="0084365F" w:rsidP="0084365F">
      <w:pPr>
        <w:jc w:val="both"/>
      </w:pPr>
      <w:r>
        <w:t>In conclusion, the nutrition situation in Isiolo County reflects a complex interplay of immediate, underlying, and basic causes contributing to high levels of malnutrition among its population. Immediate causes such as inadequate food consumption and disease prevalence, compounded by underlying factors like food insecurity, suboptimal caring and feeding practices, and limited access to healthcare and environmental health services, underscore the severity of the situation. Moreover, chronic determinants such as poverty, inadequate infrastructure, and environmental challenges further exacerbate malnutrition, posing significant challenges to the well-being of the community.</w:t>
      </w:r>
    </w:p>
    <w:p w14:paraId="51524073" w14:textId="77777777" w:rsidR="0084365F" w:rsidRDefault="0084365F" w:rsidP="0084365F">
      <w:pPr>
        <w:jc w:val="both"/>
      </w:pPr>
      <w:r>
        <w:t>The urgency of the response required is paramount, given the high prevalence of malnutrition and its adverse impact on health outcomes and overall development. Immediate action is warranted to address the acute determinants of malnutrition, including targeted interventions to improve food security, promote optimal breastfeeding and complementary feeding practices, enhance access to healthcare services, and address environmental health issues. These efforts should be complemented by medium to longer-term strategies focusing on addressing chronic determinants and building resilience within the community.</w:t>
      </w:r>
    </w:p>
    <w:p w14:paraId="5B7F6F9D" w14:textId="77777777" w:rsidR="0084365F" w:rsidRDefault="0084365F" w:rsidP="0084365F"/>
    <w:p w14:paraId="366055D2" w14:textId="2C8C1EC7" w:rsidR="0084365F" w:rsidRDefault="0084365F" w:rsidP="0084365F">
      <w:pPr>
        <w:jc w:val="both"/>
      </w:pPr>
      <w:r>
        <w:t>Overall, a concerted and multi-sectoral approach is needed to address the complex drivers of malnutrition in Isiolo County effectively. By prioritizing evidence-based interventions, strengthening health systems, and promoting community engagement, we can work towards improving nutritional outcomes and enhancing the well-being of the population.</w:t>
      </w:r>
    </w:p>
    <w:p w14:paraId="6593777F" w14:textId="77777777" w:rsidR="00A37620" w:rsidRDefault="00A37620" w:rsidP="00A37620"/>
    <w:p w14:paraId="52C3CFF1" w14:textId="77777777" w:rsidR="00A37620" w:rsidRDefault="00A37620" w:rsidP="00A37620">
      <w:pPr>
        <w:sectPr w:rsidR="00A37620" w:rsidSect="0088658D">
          <w:pgSz w:w="12240" w:h="15840"/>
          <w:pgMar w:top="1440" w:right="1440" w:bottom="1440" w:left="1440" w:header="708" w:footer="708" w:gutter="0"/>
          <w:cols w:space="708"/>
          <w:titlePg/>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23"/>
        <w:gridCol w:w="2833"/>
        <w:gridCol w:w="3561"/>
        <w:gridCol w:w="3561"/>
        <w:gridCol w:w="1572"/>
      </w:tblGrid>
      <w:tr w:rsidR="00A37620" w:rsidRPr="00A37620" w14:paraId="7CBEFA2E" w14:textId="77777777" w:rsidTr="00A37620">
        <w:trPr>
          <w:trHeight w:val="416"/>
          <w:tblHeader/>
        </w:trPr>
        <w:tc>
          <w:tcPr>
            <w:tcW w:w="0" w:type="auto"/>
            <w:shd w:val="clear" w:color="auto" w:fill="BFBFBF" w:themeFill="accent6"/>
          </w:tcPr>
          <w:p w14:paraId="276709F4"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b/>
                <w:color w:val="000000"/>
                <w:sz w:val="22"/>
                <w:szCs w:val="22"/>
              </w:rPr>
              <w:lastRenderedPageBreak/>
              <w:t xml:space="preserve">SECTOR </w:t>
            </w:r>
          </w:p>
        </w:tc>
        <w:tc>
          <w:tcPr>
            <w:tcW w:w="0" w:type="auto"/>
            <w:shd w:val="clear" w:color="auto" w:fill="BFBFBF" w:themeFill="accent6"/>
          </w:tcPr>
          <w:p w14:paraId="36F5A3B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b/>
                <w:color w:val="000000"/>
                <w:sz w:val="22"/>
                <w:szCs w:val="22"/>
              </w:rPr>
              <w:t xml:space="preserve">SURVEY FINDINGS </w:t>
            </w:r>
          </w:p>
        </w:tc>
        <w:tc>
          <w:tcPr>
            <w:tcW w:w="0" w:type="auto"/>
            <w:shd w:val="clear" w:color="auto" w:fill="BFBFBF" w:themeFill="accent6"/>
          </w:tcPr>
          <w:p w14:paraId="089687A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b/>
                <w:color w:val="000000"/>
                <w:sz w:val="22"/>
                <w:szCs w:val="22"/>
              </w:rPr>
            </w:pPr>
            <w:r w:rsidRPr="00A37620">
              <w:rPr>
                <w:rFonts w:asciiTheme="majorHAnsi" w:eastAsia="Gill Sans" w:hAnsiTheme="majorHAnsi" w:cs="Gill Sans"/>
                <w:b/>
                <w:color w:val="000000"/>
                <w:sz w:val="22"/>
                <w:szCs w:val="22"/>
              </w:rPr>
              <w:t>SHORT TERM RECOMMENDATIONS</w:t>
            </w:r>
          </w:p>
        </w:tc>
        <w:tc>
          <w:tcPr>
            <w:tcW w:w="0" w:type="auto"/>
            <w:shd w:val="clear" w:color="auto" w:fill="BFBFBF" w:themeFill="accent6"/>
          </w:tcPr>
          <w:p w14:paraId="11DF329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b/>
                <w:color w:val="000000"/>
                <w:sz w:val="22"/>
                <w:szCs w:val="22"/>
              </w:rPr>
              <w:t xml:space="preserve">MEDIUM TO LONG TERM RECOMMENDATIONS </w:t>
            </w:r>
          </w:p>
        </w:tc>
        <w:tc>
          <w:tcPr>
            <w:tcW w:w="0" w:type="auto"/>
            <w:shd w:val="clear" w:color="auto" w:fill="BFBFBF" w:themeFill="accent6"/>
          </w:tcPr>
          <w:p w14:paraId="3AA5912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b/>
                <w:color w:val="000000"/>
                <w:sz w:val="22"/>
                <w:szCs w:val="22"/>
              </w:rPr>
              <w:t>RESPONSIBLE</w:t>
            </w:r>
          </w:p>
        </w:tc>
      </w:tr>
      <w:tr w:rsidR="00A37620" w:rsidRPr="00A37620" w14:paraId="00BB6624" w14:textId="77777777" w:rsidTr="00A37620">
        <w:trPr>
          <w:trHeight w:val="2588"/>
        </w:trPr>
        <w:tc>
          <w:tcPr>
            <w:tcW w:w="0" w:type="auto"/>
            <w:vMerge w:val="restart"/>
          </w:tcPr>
          <w:p w14:paraId="4590B59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 xml:space="preserve">HEALTH AND NUTRITION </w:t>
            </w:r>
          </w:p>
        </w:tc>
        <w:tc>
          <w:tcPr>
            <w:tcW w:w="0" w:type="auto"/>
          </w:tcPr>
          <w:p w14:paraId="5B924315"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High GAM prevalence of 13.7% (slight decrease from 15.4% in 2023)</w:t>
            </w:r>
          </w:p>
          <w:p w14:paraId="15245A71"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High underweight prevalence at 18.5% (slight decrease from 20% in 2023)</w:t>
            </w:r>
          </w:p>
          <w:p w14:paraId="2EAE646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High stunting prevalence at 17% up from 15% in 2023</w:t>
            </w:r>
          </w:p>
        </w:tc>
        <w:tc>
          <w:tcPr>
            <w:tcW w:w="0" w:type="auto"/>
          </w:tcPr>
          <w:p w14:paraId="734EF54B" w14:textId="77777777" w:rsidR="00A37620" w:rsidRPr="00A37620" w:rsidRDefault="00A37620" w:rsidP="00F8644F">
            <w:pPr>
              <w:spacing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Refresher training to CHPS on module 8 Nutrition; (Emphasis should be on IMAM including commodity management to ensure accountability at HH level by caregivers. </w:t>
            </w:r>
          </w:p>
          <w:p w14:paraId="372546B1" w14:textId="77777777" w:rsidR="00A37620" w:rsidRPr="00A37620" w:rsidRDefault="00A37620" w:rsidP="00F8644F">
            <w:pPr>
              <w:spacing w:after="240"/>
              <w:rPr>
                <w:rFonts w:asciiTheme="majorHAnsi" w:eastAsia="Gill Sans" w:hAnsiTheme="majorHAnsi" w:cs="Gill Sans"/>
                <w:sz w:val="22"/>
                <w:szCs w:val="22"/>
              </w:rPr>
            </w:pPr>
            <w:r w:rsidRPr="00A37620">
              <w:rPr>
                <w:rFonts w:asciiTheme="majorHAnsi" w:eastAsia="Gill Sans" w:hAnsiTheme="majorHAnsi" w:cs="Gill Sans"/>
                <w:sz w:val="22"/>
                <w:szCs w:val="22"/>
              </w:rPr>
              <w:t>Community sensitization while targeting key community influencers/decision makers with messages to discourage commodity sharing at the Household level within our community health units (Chiefs, Village elders, sub-areas, opinion leaders).</w:t>
            </w:r>
          </w:p>
          <w:p w14:paraId="2C15C54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Upscaling of IMAM services to new health facilities - Shambani Dispensary and Gotu Dispensary.</w:t>
            </w:r>
          </w:p>
          <w:p w14:paraId="388B2C0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Strengthen family MUAC intervention for early detection and self-referral by caregivers and referral by Community Health Promoters to the health facilities for further assessment.</w:t>
            </w:r>
          </w:p>
          <w:p w14:paraId="0C6ED08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Harmonisation of Family MUAC reporting </w:t>
            </w:r>
          </w:p>
          <w:p w14:paraId="12436560"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tool and strengthening Family MUAC monitoring by CHAs and SCHSFP. </w:t>
            </w:r>
          </w:p>
          <w:p w14:paraId="3E94D78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6F1D7D6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To address aid diversion; Advocate for procurement of prototype stores, conduct community sensitization on diversion/sale of commodities from health facilities.</w:t>
            </w:r>
          </w:p>
          <w:p w14:paraId="5961DCE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Formation of Community Commodity Monitoring Committee from HFMC+CHC to monitor commodity management at the facility level. </w:t>
            </w:r>
          </w:p>
          <w:p w14:paraId="33F8DCC0"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Case conferencing to discuss with different stakeholders (caregiver, CHP, CHA, MOH staff, partners) on the different reasons for non-respondents and defaulters and come up with multi-sectoral solutions. </w:t>
            </w:r>
          </w:p>
          <w:p w14:paraId="50E4119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Adherence to </w:t>
            </w:r>
            <w:proofErr w:type="spellStart"/>
            <w:r w:rsidRPr="00A37620">
              <w:rPr>
                <w:rFonts w:asciiTheme="majorHAnsi" w:eastAsia="Gill Sans" w:hAnsiTheme="majorHAnsi" w:cs="Gill Sans"/>
                <w:sz w:val="22"/>
                <w:szCs w:val="22"/>
              </w:rPr>
              <w:t>SoPs</w:t>
            </w:r>
            <w:proofErr w:type="spellEnd"/>
            <w:r w:rsidRPr="00A37620">
              <w:rPr>
                <w:rFonts w:asciiTheme="majorHAnsi" w:eastAsia="Gill Sans" w:hAnsiTheme="majorHAnsi" w:cs="Gill Sans"/>
                <w:sz w:val="22"/>
                <w:szCs w:val="22"/>
              </w:rPr>
              <w:t xml:space="preserve"> while implementing health and nutrition interventions; for example, outreaches should ensure clean water is available for cleaning, toilet facility is near the site, handwashing station available. </w:t>
            </w:r>
          </w:p>
          <w:p w14:paraId="5CE7FB0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Strengthen Social Behaviour Change approaches in all the nutrition interventions to ensure positive behaviour change across the community that promote good health and wellbeing. </w:t>
            </w:r>
          </w:p>
        </w:tc>
        <w:tc>
          <w:tcPr>
            <w:tcW w:w="0" w:type="auto"/>
          </w:tcPr>
          <w:p w14:paraId="4A95363F" w14:textId="77777777" w:rsidR="00A37620" w:rsidRPr="00A37620" w:rsidRDefault="00A37620" w:rsidP="00F8644F">
            <w:pPr>
              <w:rPr>
                <w:rFonts w:asciiTheme="majorHAnsi" w:eastAsia="Gill Sans" w:hAnsiTheme="majorHAnsi" w:cs="Gill Sans"/>
                <w:sz w:val="22"/>
                <w:szCs w:val="22"/>
              </w:rPr>
            </w:pPr>
            <w:bookmarkStart w:id="215" w:name="_heading=h.gjdgxs" w:colFirst="0" w:colLast="0"/>
            <w:bookmarkEnd w:id="215"/>
            <w:r w:rsidRPr="00A37620">
              <w:rPr>
                <w:rFonts w:asciiTheme="majorHAnsi" w:eastAsia="Gill Sans" w:hAnsiTheme="majorHAnsi" w:cs="Gill Sans"/>
                <w:sz w:val="22"/>
                <w:szCs w:val="22"/>
              </w:rPr>
              <w:lastRenderedPageBreak/>
              <w:t xml:space="preserve">Recruitment of additional Nutritionists to address human resource gaps at the health facilities. </w:t>
            </w:r>
          </w:p>
          <w:p w14:paraId="594EE368" w14:textId="77777777" w:rsidR="00A37620" w:rsidRPr="00A37620" w:rsidRDefault="00A37620" w:rsidP="00F8644F">
            <w:pPr>
              <w:spacing w:after="0" w:line="276" w:lineRule="auto"/>
              <w:jc w:val="both"/>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Strengthen nutrition advocacy for increased funding for nutrition interventions. </w:t>
            </w:r>
          </w:p>
          <w:p w14:paraId="4276E26D" w14:textId="77777777" w:rsidR="00A37620" w:rsidRPr="00A37620" w:rsidRDefault="00A37620" w:rsidP="00F8644F">
            <w:pPr>
              <w:spacing w:after="0" w:line="276" w:lineRule="auto"/>
              <w:jc w:val="both"/>
              <w:rPr>
                <w:rFonts w:asciiTheme="majorHAnsi" w:eastAsia="Gill Sans" w:hAnsiTheme="majorHAnsi" w:cs="Gill Sans"/>
                <w:sz w:val="22"/>
                <w:szCs w:val="22"/>
              </w:rPr>
            </w:pPr>
            <w:bookmarkStart w:id="216" w:name="_heading=h.wfqgudmvcrtc" w:colFirst="0" w:colLast="0"/>
            <w:bookmarkEnd w:id="216"/>
          </w:p>
          <w:p w14:paraId="65D93AAC" w14:textId="77777777" w:rsidR="00A37620" w:rsidRPr="00A37620" w:rsidRDefault="00A37620" w:rsidP="00F8644F">
            <w:pPr>
              <w:spacing w:after="0" w:line="276" w:lineRule="auto"/>
              <w:jc w:val="both"/>
              <w:rPr>
                <w:rFonts w:asciiTheme="majorHAnsi" w:eastAsia="Gill Sans" w:hAnsiTheme="majorHAnsi" w:cs="Gill Sans"/>
                <w:sz w:val="22"/>
                <w:szCs w:val="22"/>
              </w:rPr>
            </w:pPr>
            <w:bookmarkStart w:id="217" w:name="_heading=h.mh16ntip9cev" w:colFirst="0" w:colLast="0"/>
            <w:bookmarkEnd w:id="217"/>
            <w:r w:rsidRPr="00A37620">
              <w:rPr>
                <w:rFonts w:asciiTheme="majorHAnsi" w:eastAsia="Gill Sans" w:hAnsiTheme="majorHAnsi" w:cs="Gill Sans"/>
                <w:sz w:val="22"/>
                <w:szCs w:val="22"/>
              </w:rPr>
              <w:t xml:space="preserve">Strengthen multi-sectoral collaboration between nutrition sensitive and specific programming.  </w:t>
            </w:r>
          </w:p>
          <w:p w14:paraId="59ACD8D6" w14:textId="77777777" w:rsidR="00A37620" w:rsidRPr="00A37620" w:rsidRDefault="00A37620" w:rsidP="00F8644F">
            <w:pPr>
              <w:spacing w:after="0" w:line="276" w:lineRule="auto"/>
              <w:jc w:val="both"/>
              <w:rPr>
                <w:rFonts w:asciiTheme="majorHAnsi" w:eastAsia="Gill Sans" w:hAnsiTheme="majorHAnsi" w:cs="Gill Sans"/>
                <w:sz w:val="22"/>
                <w:szCs w:val="22"/>
              </w:rPr>
            </w:pPr>
            <w:bookmarkStart w:id="218" w:name="_heading=h.ep5nuji3rvwy" w:colFirst="0" w:colLast="0"/>
            <w:bookmarkEnd w:id="218"/>
          </w:p>
          <w:p w14:paraId="57076959"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Renovation of existing stores by putting grills in doors and windows for commodity security.</w:t>
            </w:r>
          </w:p>
          <w:p w14:paraId="526172D8" w14:textId="77777777" w:rsidR="00A37620" w:rsidRPr="00A37620" w:rsidRDefault="00A37620" w:rsidP="00F8644F">
            <w:pPr>
              <w:spacing w:after="0"/>
              <w:rPr>
                <w:rFonts w:asciiTheme="majorHAnsi" w:eastAsia="Gill Sans" w:hAnsiTheme="majorHAnsi" w:cs="Gill Sans"/>
                <w:sz w:val="22"/>
                <w:szCs w:val="22"/>
              </w:rPr>
            </w:pPr>
          </w:p>
          <w:p w14:paraId="7F7F9771" w14:textId="27595DB1" w:rsidR="00A37620" w:rsidRPr="00A37620" w:rsidRDefault="00A37620" w:rsidP="00F8644F">
            <w:pPr>
              <w:rPr>
                <w:rFonts w:asciiTheme="majorHAnsi" w:eastAsia="Gill Sans" w:hAnsiTheme="majorHAnsi" w:cs="Gill Sans"/>
                <w:sz w:val="22"/>
                <w:szCs w:val="22"/>
              </w:rPr>
            </w:pPr>
            <w:bookmarkStart w:id="219" w:name="_heading=h.vakcxs9qwhgr" w:colFirst="0" w:colLast="0"/>
            <w:bookmarkEnd w:id="219"/>
            <w:r w:rsidRPr="00A37620">
              <w:rPr>
                <w:rFonts w:asciiTheme="majorHAnsi" w:eastAsia="Gill Sans" w:hAnsiTheme="majorHAnsi" w:cs="Gill Sans"/>
                <w:sz w:val="22"/>
                <w:szCs w:val="22"/>
              </w:rPr>
              <w:t xml:space="preserve">Specifically, construction/ renovation of stores at Lengurma, Mogore, Noloroi, Lafe and Dima Adho, Gubatu. Facilities to prioritise for renovation; Oldonyiro, Kipsing, Modogashe, Biliqo Marara, Eremet, Daaba, Bulesa, Saleti, </w:t>
            </w:r>
          </w:p>
          <w:p w14:paraId="5CE1B51F" w14:textId="77777777" w:rsidR="00A37620" w:rsidRPr="00A37620" w:rsidRDefault="00A37620" w:rsidP="00F8644F">
            <w:pPr>
              <w:rPr>
                <w:rFonts w:asciiTheme="majorHAnsi" w:eastAsia="Gill Sans" w:hAnsiTheme="majorHAnsi" w:cs="Gill Sans"/>
                <w:sz w:val="22"/>
                <w:szCs w:val="22"/>
              </w:rPr>
            </w:pPr>
            <w:bookmarkStart w:id="220" w:name="_heading=h.u0wj36l5l3n1" w:colFirst="0" w:colLast="0"/>
            <w:bookmarkEnd w:id="220"/>
          </w:p>
          <w:p w14:paraId="59EE55D4" w14:textId="77777777" w:rsidR="00A37620" w:rsidRPr="00A37620" w:rsidRDefault="00A37620" w:rsidP="00F8644F">
            <w:pPr>
              <w:rPr>
                <w:rFonts w:asciiTheme="majorHAnsi" w:eastAsia="Gill Sans" w:hAnsiTheme="majorHAnsi" w:cs="Gill Sans"/>
                <w:sz w:val="22"/>
                <w:szCs w:val="22"/>
              </w:rPr>
            </w:pPr>
            <w:bookmarkStart w:id="221" w:name="_heading=h.keajgcch7b9y" w:colFirst="0" w:colLast="0"/>
            <w:bookmarkEnd w:id="221"/>
          </w:p>
          <w:p w14:paraId="275F919D" w14:textId="77777777" w:rsidR="00A37620" w:rsidRPr="00A37620" w:rsidRDefault="00A37620" w:rsidP="00F8644F">
            <w:pPr>
              <w:rPr>
                <w:rFonts w:asciiTheme="majorHAnsi" w:eastAsia="Gill Sans" w:hAnsiTheme="majorHAnsi" w:cs="Gill Sans"/>
                <w:sz w:val="22"/>
                <w:szCs w:val="22"/>
              </w:rPr>
            </w:pPr>
            <w:bookmarkStart w:id="222" w:name="_heading=h.xlbvwjip089b" w:colFirst="0" w:colLast="0"/>
            <w:bookmarkEnd w:id="222"/>
          </w:p>
          <w:p w14:paraId="18620795" w14:textId="77777777" w:rsidR="00A37620" w:rsidRPr="00A37620" w:rsidRDefault="00A37620" w:rsidP="00F8644F">
            <w:pPr>
              <w:rPr>
                <w:rFonts w:asciiTheme="majorHAnsi" w:eastAsia="Gill Sans" w:hAnsiTheme="majorHAnsi" w:cs="Gill Sans"/>
                <w:sz w:val="22"/>
                <w:szCs w:val="22"/>
              </w:rPr>
            </w:pPr>
            <w:bookmarkStart w:id="223" w:name="_heading=h.lft4bnlp9sk5" w:colFirst="0" w:colLast="0"/>
            <w:bookmarkEnd w:id="223"/>
            <w:r w:rsidRPr="00A37620">
              <w:rPr>
                <w:rFonts w:asciiTheme="majorHAnsi" w:eastAsia="Gill Sans" w:hAnsiTheme="majorHAnsi" w:cs="Gill Sans"/>
                <w:sz w:val="22"/>
                <w:szCs w:val="22"/>
              </w:rPr>
              <w:lastRenderedPageBreak/>
              <w:t xml:space="preserve"> </w:t>
            </w:r>
          </w:p>
        </w:tc>
        <w:tc>
          <w:tcPr>
            <w:tcW w:w="0" w:type="auto"/>
          </w:tcPr>
          <w:p w14:paraId="03C9A6E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sz w:val="22"/>
                <w:szCs w:val="22"/>
              </w:rPr>
              <w:lastRenderedPageBreak/>
              <w:t>County Department of Health and partners</w:t>
            </w:r>
          </w:p>
          <w:p w14:paraId="6A1512E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45842FF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7B301793"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7F05593C"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0B3D564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4B24730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505ECAEF"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5F9C0D6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r>
      <w:tr w:rsidR="00A37620" w:rsidRPr="00A37620" w14:paraId="1F069D1B" w14:textId="77777777" w:rsidTr="00A37620">
        <w:trPr>
          <w:trHeight w:val="1348"/>
        </w:trPr>
        <w:tc>
          <w:tcPr>
            <w:tcW w:w="0" w:type="auto"/>
            <w:vMerge/>
          </w:tcPr>
          <w:p w14:paraId="304A2342" w14:textId="77777777" w:rsidR="00A37620" w:rsidRPr="00A37620" w:rsidRDefault="00A37620" w:rsidP="00F8644F">
            <w:pPr>
              <w:widowControl w:val="0"/>
              <w:pBdr>
                <w:top w:val="nil"/>
                <w:left w:val="nil"/>
                <w:bottom w:val="nil"/>
                <w:right w:val="nil"/>
                <w:between w:val="nil"/>
              </w:pBdr>
              <w:spacing w:after="0" w:line="276" w:lineRule="auto"/>
              <w:rPr>
                <w:rFonts w:asciiTheme="majorHAnsi" w:eastAsia="Gill Sans" w:hAnsiTheme="majorHAnsi" w:cs="Gill Sans"/>
                <w:color w:val="000000"/>
                <w:sz w:val="22"/>
                <w:szCs w:val="22"/>
              </w:rPr>
            </w:pPr>
          </w:p>
        </w:tc>
        <w:tc>
          <w:tcPr>
            <w:tcW w:w="0" w:type="auto"/>
          </w:tcPr>
          <w:p w14:paraId="27376CF3"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Vitamin A Supplementation for children 6-59 months (79.8%) and deworming coverage (70.4%) down from 72.5% in 2023.</w:t>
            </w:r>
          </w:p>
          <w:p w14:paraId="145B80A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15645F9A"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Intensify Vitamin A supplementation and deworming during community activities like mass screening using the “screen and treat approach”.</w:t>
            </w:r>
          </w:p>
          <w:p w14:paraId="46B4649C"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Procurement of mother child booklet (MoH 216) to address documentation related issues.</w:t>
            </w:r>
          </w:p>
          <w:p w14:paraId="118485B6"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Dissemination of Vitamin A strategies/guides to the health managers and workers </w:t>
            </w:r>
          </w:p>
          <w:p w14:paraId="240A486C"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Strengthen routine supplementation by ensuring health workers take opportunities for VAS supplementation and deworm children coming to health facilities.</w:t>
            </w:r>
          </w:p>
          <w:p w14:paraId="39891EA4"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OJTs and mentorships on VAS targeting and monthly monitoring.</w:t>
            </w:r>
          </w:p>
          <w:p w14:paraId="5C695763" w14:textId="77777777" w:rsidR="00A37620" w:rsidRPr="00A37620" w:rsidRDefault="00A37620" w:rsidP="00F8644F">
            <w:pPr>
              <w:spacing w:before="240" w:after="240"/>
              <w:jc w:val="both"/>
              <w:rPr>
                <w:rFonts w:asciiTheme="majorHAnsi" w:eastAsia="Gill Sans" w:hAnsiTheme="majorHAnsi" w:cs="Gill Sans"/>
                <w:sz w:val="22"/>
                <w:szCs w:val="22"/>
              </w:rPr>
            </w:pPr>
            <w:r w:rsidRPr="00A37620">
              <w:rPr>
                <w:rFonts w:asciiTheme="majorHAnsi" w:eastAsia="Gill Sans" w:hAnsiTheme="majorHAnsi" w:cs="Gill Sans"/>
                <w:sz w:val="22"/>
                <w:szCs w:val="22"/>
              </w:rPr>
              <w:t>Sensitising the CHVs on referral of eligible children to health facilities for vitamin A supplementation.</w:t>
            </w:r>
          </w:p>
        </w:tc>
        <w:tc>
          <w:tcPr>
            <w:tcW w:w="0" w:type="auto"/>
          </w:tcPr>
          <w:p w14:paraId="504A5AB0" w14:textId="77777777" w:rsidR="00A37620" w:rsidRPr="00A37620" w:rsidRDefault="00A37620" w:rsidP="00F8644F">
            <w:pPr>
              <w:spacing w:before="240" w:after="240"/>
              <w:jc w:val="both"/>
              <w:rPr>
                <w:rFonts w:asciiTheme="majorHAnsi" w:eastAsia="Gill Sans" w:hAnsiTheme="majorHAnsi" w:cs="Gill Sans"/>
                <w:sz w:val="22"/>
                <w:szCs w:val="22"/>
              </w:rPr>
            </w:pPr>
          </w:p>
          <w:p w14:paraId="4F85F717" w14:textId="77777777" w:rsidR="00A37620" w:rsidRPr="00A37620" w:rsidRDefault="00A37620" w:rsidP="00F8644F">
            <w:pPr>
              <w:rPr>
                <w:rFonts w:asciiTheme="majorHAnsi" w:eastAsia="Gill Sans" w:hAnsiTheme="majorHAnsi" w:cs="Gill Sans"/>
                <w:sz w:val="22"/>
                <w:szCs w:val="22"/>
              </w:rPr>
            </w:pPr>
          </w:p>
        </w:tc>
        <w:tc>
          <w:tcPr>
            <w:tcW w:w="0" w:type="auto"/>
          </w:tcPr>
          <w:p w14:paraId="61650F6F" w14:textId="77777777" w:rsidR="00A37620" w:rsidRPr="00A37620" w:rsidRDefault="00A37620" w:rsidP="00F8644F">
            <w:pPr>
              <w:spacing w:after="0"/>
              <w:rPr>
                <w:rFonts w:asciiTheme="majorHAnsi" w:eastAsia="Gill Sans" w:hAnsiTheme="majorHAnsi" w:cs="Gill Sans"/>
                <w:color w:val="000000"/>
                <w:sz w:val="22"/>
                <w:szCs w:val="22"/>
              </w:rPr>
            </w:pPr>
            <w:r w:rsidRPr="00A37620">
              <w:rPr>
                <w:rFonts w:asciiTheme="majorHAnsi" w:eastAsia="Gill Sans" w:hAnsiTheme="majorHAnsi" w:cs="Gill Sans"/>
                <w:sz w:val="22"/>
                <w:szCs w:val="22"/>
              </w:rPr>
              <w:t>County Department of Health and partners</w:t>
            </w:r>
          </w:p>
          <w:p w14:paraId="7D0E0C9B" w14:textId="77777777" w:rsidR="00A37620" w:rsidRPr="00A37620" w:rsidRDefault="00A37620" w:rsidP="00F8644F">
            <w:pPr>
              <w:pBdr>
                <w:top w:val="nil"/>
                <w:left w:val="nil"/>
                <w:bottom w:val="nil"/>
                <w:right w:val="nil"/>
                <w:between w:val="nil"/>
              </w:pBdr>
              <w:spacing w:after="0"/>
              <w:jc w:val="both"/>
              <w:rPr>
                <w:rFonts w:asciiTheme="majorHAnsi" w:eastAsia="Gill Sans" w:hAnsiTheme="majorHAnsi" w:cs="Gill Sans"/>
                <w:color w:val="000000"/>
                <w:sz w:val="22"/>
                <w:szCs w:val="22"/>
              </w:rPr>
            </w:pPr>
          </w:p>
        </w:tc>
      </w:tr>
      <w:tr w:rsidR="00A37620" w:rsidRPr="00A37620" w14:paraId="75DC51F1" w14:textId="77777777" w:rsidTr="00A37620">
        <w:trPr>
          <w:trHeight w:val="558"/>
        </w:trPr>
        <w:tc>
          <w:tcPr>
            <w:tcW w:w="0" w:type="auto"/>
            <w:vMerge/>
          </w:tcPr>
          <w:p w14:paraId="5BC5E5F4" w14:textId="77777777" w:rsidR="00A37620" w:rsidRPr="00A37620" w:rsidRDefault="00A37620" w:rsidP="00F8644F">
            <w:pPr>
              <w:widowControl w:val="0"/>
              <w:pBdr>
                <w:top w:val="nil"/>
                <w:left w:val="nil"/>
                <w:bottom w:val="nil"/>
                <w:right w:val="nil"/>
                <w:between w:val="nil"/>
              </w:pBdr>
              <w:spacing w:after="0" w:line="276" w:lineRule="auto"/>
              <w:rPr>
                <w:rFonts w:asciiTheme="majorHAnsi" w:eastAsia="Gill Sans" w:hAnsiTheme="majorHAnsi" w:cs="Gill Sans"/>
                <w:color w:val="000000"/>
                <w:sz w:val="22"/>
                <w:szCs w:val="22"/>
              </w:rPr>
            </w:pPr>
          </w:p>
        </w:tc>
        <w:tc>
          <w:tcPr>
            <w:tcW w:w="0" w:type="auto"/>
          </w:tcPr>
          <w:p w14:paraId="5213B6F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Only 22.4% of the pregnant women start ANC within the first three months. </w:t>
            </w:r>
          </w:p>
          <w:p w14:paraId="595F7FE4"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3FBA3D52"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66CF576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 xml:space="preserve">IFAS </w:t>
            </w:r>
            <w:r w:rsidRPr="00A37620">
              <w:rPr>
                <w:rFonts w:asciiTheme="majorHAnsi" w:eastAsia="Gill Sans" w:hAnsiTheme="majorHAnsi" w:cs="Gill Sans"/>
                <w:sz w:val="22"/>
                <w:szCs w:val="22"/>
              </w:rPr>
              <w:t>utilisation</w:t>
            </w:r>
            <w:r w:rsidRPr="00A37620">
              <w:rPr>
                <w:rFonts w:asciiTheme="majorHAnsi" w:eastAsia="Gill Sans" w:hAnsiTheme="majorHAnsi" w:cs="Gill Sans"/>
                <w:color w:val="000000"/>
                <w:sz w:val="22"/>
                <w:szCs w:val="22"/>
              </w:rPr>
              <w:t xml:space="preserve"> for &gt;90 days at 53.7%</w:t>
            </w:r>
          </w:p>
        </w:tc>
        <w:tc>
          <w:tcPr>
            <w:tcW w:w="0" w:type="auto"/>
          </w:tcPr>
          <w:p w14:paraId="3B597B8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Health care workers/CHPs sensitization on Focussed Antenatal Care (FANC)</w:t>
            </w:r>
          </w:p>
          <w:p w14:paraId="72E5248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Awareness creation on the importance of early ANC visits at community level, facility levels.</w:t>
            </w:r>
          </w:p>
          <w:p w14:paraId="5BB79FF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Support supervision to CHPs during household visits.</w:t>
            </w:r>
          </w:p>
          <w:p w14:paraId="2E7FCA4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Need to focus on pre-conception counselling. </w:t>
            </w:r>
          </w:p>
          <w:p w14:paraId="7BA56A35"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Demand driven incentives to encourage early ANC visits.</w:t>
            </w:r>
          </w:p>
          <w:p w14:paraId="564EF083"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Foster male involvement as means of reaching women on IFAS consumption.</w:t>
            </w:r>
          </w:p>
          <w:p w14:paraId="2D6DA583"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Develop social behaviour messages targeting the community on IFAS.</w:t>
            </w:r>
          </w:p>
          <w:p w14:paraId="627356D9"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Reach women in mother-to-mother support groups and other women groups with key IFAS messaging.</w:t>
            </w:r>
          </w:p>
          <w:p w14:paraId="7DD7AEE0"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Sensitization on the importance of IFAS utilisation to pregnant mothers</w:t>
            </w:r>
          </w:p>
          <w:p w14:paraId="3FF40F6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Sensitize community on IFAS utilisation during community dialogue days/community conversations/baby friendly gatherings/Barazas</w:t>
            </w:r>
          </w:p>
        </w:tc>
        <w:tc>
          <w:tcPr>
            <w:tcW w:w="0" w:type="auto"/>
          </w:tcPr>
          <w:p w14:paraId="1100AC1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61D743A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1A4C22B6"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County Department of Health and partners</w:t>
            </w:r>
          </w:p>
        </w:tc>
      </w:tr>
      <w:tr w:rsidR="00A37620" w:rsidRPr="00A37620" w14:paraId="739C956E" w14:textId="77777777" w:rsidTr="00A37620">
        <w:trPr>
          <w:trHeight w:val="558"/>
        </w:trPr>
        <w:tc>
          <w:tcPr>
            <w:tcW w:w="0" w:type="auto"/>
          </w:tcPr>
          <w:p w14:paraId="204082B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65E44D9F"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 xml:space="preserve">15.3% of women were at risk of malnutrition with 9% of </w:t>
            </w:r>
            <w:r w:rsidRPr="00A37620">
              <w:rPr>
                <w:rFonts w:asciiTheme="majorHAnsi" w:eastAsia="Gill Sans" w:hAnsiTheme="majorHAnsi" w:cs="Gill Sans"/>
                <w:color w:val="000000"/>
                <w:sz w:val="22"/>
                <w:szCs w:val="22"/>
              </w:rPr>
              <w:lastRenderedPageBreak/>
              <w:t xml:space="preserve">the women malnourished by </w:t>
            </w:r>
            <w:proofErr w:type="gramStart"/>
            <w:r w:rsidRPr="00A37620">
              <w:rPr>
                <w:rFonts w:asciiTheme="majorHAnsi" w:eastAsia="Gill Sans" w:hAnsiTheme="majorHAnsi" w:cs="Gill Sans"/>
                <w:color w:val="000000"/>
                <w:sz w:val="22"/>
                <w:szCs w:val="22"/>
              </w:rPr>
              <w:t>MUAC</w:t>
            </w:r>
            <w:proofErr w:type="gramEnd"/>
            <w:r w:rsidRPr="00A37620">
              <w:rPr>
                <w:rFonts w:asciiTheme="majorHAnsi" w:eastAsia="Gill Sans" w:hAnsiTheme="majorHAnsi" w:cs="Gill Sans"/>
                <w:color w:val="000000"/>
                <w:sz w:val="22"/>
                <w:szCs w:val="22"/>
              </w:rPr>
              <w:t>  </w:t>
            </w:r>
          </w:p>
          <w:p w14:paraId="0282B91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6C0433AC"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783F38C8"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 xml:space="preserve">Conduct community level screening for malnutrition targeting PLW </w:t>
            </w:r>
            <w:r w:rsidRPr="00A37620">
              <w:rPr>
                <w:rFonts w:asciiTheme="majorHAnsi" w:eastAsia="Gill Sans" w:hAnsiTheme="majorHAnsi" w:cs="Gill Sans"/>
                <w:sz w:val="22"/>
                <w:szCs w:val="22"/>
              </w:rPr>
              <w:lastRenderedPageBreak/>
              <w:t>through mass screening and routine community screening.</w:t>
            </w:r>
          </w:p>
          <w:p w14:paraId="2C7245C5"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Health education on dietary diversity and preparation of quality diets</w:t>
            </w:r>
          </w:p>
          <w:p w14:paraId="36EB6CCF"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Support in upscaling of BFCI to all CUs for adaptation of good feeding and care </w:t>
            </w:r>
            <w:proofErr w:type="gramStart"/>
            <w:r w:rsidRPr="00A37620">
              <w:rPr>
                <w:rFonts w:asciiTheme="majorHAnsi" w:eastAsia="Gill Sans" w:hAnsiTheme="majorHAnsi" w:cs="Gill Sans"/>
                <w:sz w:val="22"/>
                <w:szCs w:val="22"/>
              </w:rPr>
              <w:t>practices</w:t>
            </w:r>
            <w:proofErr w:type="gramEnd"/>
          </w:p>
          <w:p w14:paraId="00BA1DAA"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 Set up kitchen garden around water sources like boreholes, seasonal rivers, and water pans</w:t>
            </w:r>
          </w:p>
        </w:tc>
        <w:tc>
          <w:tcPr>
            <w:tcW w:w="0" w:type="auto"/>
          </w:tcPr>
          <w:p w14:paraId="7F10BBC6"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4000A3E6" w14:textId="77777777" w:rsidR="00A37620" w:rsidRPr="00A37620" w:rsidRDefault="00A37620" w:rsidP="00F8644F">
            <w:pPr>
              <w:spacing w:after="0"/>
              <w:rPr>
                <w:rFonts w:asciiTheme="majorHAnsi" w:eastAsia="Gill Sans" w:hAnsiTheme="majorHAnsi" w:cs="Gill Sans"/>
                <w:color w:val="000000"/>
                <w:sz w:val="22"/>
                <w:szCs w:val="22"/>
              </w:rPr>
            </w:pPr>
            <w:r w:rsidRPr="00A37620">
              <w:rPr>
                <w:rFonts w:asciiTheme="majorHAnsi" w:eastAsia="Gill Sans" w:hAnsiTheme="majorHAnsi" w:cs="Gill Sans"/>
                <w:sz w:val="22"/>
                <w:szCs w:val="22"/>
              </w:rPr>
              <w:t xml:space="preserve">County Department of </w:t>
            </w:r>
            <w:r w:rsidRPr="00A37620">
              <w:rPr>
                <w:rFonts w:asciiTheme="majorHAnsi" w:eastAsia="Gill Sans" w:hAnsiTheme="majorHAnsi" w:cs="Gill Sans"/>
                <w:sz w:val="22"/>
                <w:szCs w:val="22"/>
              </w:rPr>
              <w:lastRenderedPageBreak/>
              <w:t>Health and partners</w:t>
            </w:r>
          </w:p>
        </w:tc>
      </w:tr>
      <w:tr w:rsidR="00A37620" w:rsidRPr="00A37620" w14:paraId="65A0D565" w14:textId="77777777" w:rsidTr="00A37620">
        <w:trPr>
          <w:trHeight w:val="1550"/>
        </w:trPr>
        <w:tc>
          <w:tcPr>
            <w:tcW w:w="0" w:type="auto"/>
          </w:tcPr>
          <w:p w14:paraId="591D85DC"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lastRenderedPageBreak/>
              <w:t xml:space="preserve">WATER, HYGIENE AND SANITATION </w:t>
            </w:r>
          </w:p>
          <w:p w14:paraId="5CA52E26"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47E850D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Morbidity:</w:t>
            </w:r>
          </w:p>
          <w:p w14:paraId="3672AE5C"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 xml:space="preserve">Prevalence of Diarrhoea and Fever increased from 8.6% and 9.4% in 2023 to 20.3% and 36.4% respectively in 2024. </w:t>
            </w:r>
          </w:p>
          <w:p w14:paraId="6897E03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258204FC"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Prevalence of ARI at 5.8%</w:t>
            </w:r>
            <w:r w:rsidRPr="00A37620">
              <w:rPr>
                <w:rFonts w:asciiTheme="majorHAnsi" w:eastAsia="Gill Sans" w:hAnsiTheme="majorHAnsi" w:cs="Gill Sans"/>
                <w:sz w:val="22"/>
                <w:szCs w:val="22"/>
              </w:rPr>
              <w:t xml:space="preserve">. </w:t>
            </w:r>
            <w:r w:rsidRPr="00A37620">
              <w:rPr>
                <w:rFonts w:asciiTheme="majorHAnsi" w:eastAsia="Gill Sans" w:hAnsiTheme="majorHAnsi" w:cs="Gill Sans"/>
                <w:color w:val="000000"/>
                <w:sz w:val="22"/>
                <w:szCs w:val="22"/>
              </w:rPr>
              <w:t xml:space="preserve">Only 92.3%, 81.3% and 82.9% of children who were ill </w:t>
            </w:r>
            <w:r w:rsidRPr="00A37620">
              <w:rPr>
                <w:rFonts w:asciiTheme="majorHAnsi" w:eastAsia="Gill Sans" w:hAnsiTheme="majorHAnsi" w:cs="Gill Sans"/>
                <w:sz w:val="22"/>
                <w:szCs w:val="22"/>
              </w:rPr>
              <w:t>accessed</w:t>
            </w:r>
            <w:r w:rsidRPr="00A37620">
              <w:rPr>
                <w:rFonts w:asciiTheme="majorHAnsi" w:eastAsia="Gill Sans" w:hAnsiTheme="majorHAnsi" w:cs="Gill Sans"/>
                <w:color w:val="000000"/>
                <w:sz w:val="22"/>
                <w:szCs w:val="22"/>
              </w:rPr>
              <w:t xml:space="preserve"> health care for ARI, </w:t>
            </w:r>
            <w:proofErr w:type="gramStart"/>
            <w:r w:rsidRPr="00A37620">
              <w:rPr>
                <w:rFonts w:asciiTheme="majorHAnsi" w:eastAsia="Gill Sans" w:hAnsiTheme="majorHAnsi" w:cs="Gill Sans"/>
                <w:color w:val="000000"/>
                <w:sz w:val="22"/>
                <w:szCs w:val="22"/>
              </w:rPr>
              <w:t>diarrhoea</w:t>
            </w:r>
            <w:proofErr w:type="gramEnd"/>
            <w:r w:rsidRPr="00A37620">
              <w:rPr>
                <w:rFonts w:asciiTheme="majorHAnsi" w:eastAsia="Gill Sans" w:hAnsiTheme="majorHAnsi" w:cs="Gill Sans"/>
                <w:color w:val="000000"/>
                <w:sz w:val="22"/>
                <w:szCs w:val="22"/>
              </w:rPr>
              <w:t xml:space="preserve"> and fever.</w:t>
            </w:r>
          </w:p>
          <w:p w14:paraId="0806115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6BD2F4C3"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 xml:space="preserve">Management of diarrhoea by Zinc and ORS decreased from 73% and </w:t>
            </w:r>
            <w:r w:rsidRPr="00A37620">
              <w:rPr>
                <w:rFonts w:asciiTheme="majorHAnsi" w:eastAsia="Gill Sans" w:hAnsiTheme="majorHAnsi" w:cs="Gill Sans"/>
                <w:color w:val="000000"/>
                <w:sz w:val="22"/>
                <w:szCs w:val="22"/>
              </w:rPr>
              <w:lastRenderedPageBreak/>
              <w:t>76% in 2023 to 71% and 73% in 2024 respectively despite high prevalence of diarrhoea of 20.3%</w:t>
            </w:r>
          </w:p>
        </w:tc>
        <w:tc>
          <w:tcPr>
            <w:tcW w:w="0" w:type="auto"/>
          </w:tcPr>
          <w:p w14:paraId="1704E0B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 xml:space="preserve">Ensure availability of medical supplies at the health facilities and outreach sites </w:t>
            </w:r>
          </w:p>
          <w:p w14:paraId="3D867E2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Promote exclusive breastfeeding for U5- through mother-to-mother support groups. </w:t>
            </w:r>
          </w:p>
          <w:p w14:paraId="53E56AC2"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Educate the community on exclusive breastfeeding through information, educational materials- SBCC.</w:t>
            </w:r>
          </w:p>
          <w:p w14:paraId="089555E4"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Scale up hygiene promotion activities at the community.</w:t>
            </w:r>
          </w:p>
          <w:p w14:paraId="640CCD8A"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Scale up of integrated medical outreaches in hard-to-reach </w:t>
            </w:r>
            <w:proofErr w:type="gramStart"/>
            <w:r w:rsidRPr="00A37620">
              <w:rPr>
                <w:rFonts w:asciiTheme="majorHAnsi" w:eastAsia="Gill Sans" w:hAnsiTheme="majorHAnsi" w:cs="Gill Sans"/>
                <w:sz w:val="22"/>
                <w:szCs w:val="22"/>
              </w:rPr>
              <w:t>areas</w:t>
            </w:r>
            <w:proofErr w:type="gramEnd"/>
          </w:p>
          <w:p w14:paraId="5A360C6F"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Capacity building of community health promoters on use of health promotion kit</w:t>
            </w:r>
          </w:p>
          <w:p w14:paraId="6687EE57"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Health Education on benefits of zinc supplementation</w:t>
            </w:r>
          </w:p>
          <w:p w14:paraId="6A900070" w14:textId="2A6C1EBA" w:rsidR="00A37620" w:rsidRPr="00A37620" w:rsidRDefault="00A37620" w:rsidP="00B944BC">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Restocking of Zinc supplements and ORS at the facility level.</w:t>
            </w:r>
          </w:p>
        </w:tc>
        <w:tc>
          <w:tcPr>
            <w:tcW w:w="0" w:type="auto"/>
          </w:tcPr>
          <w:p w14:paraId="316DB436"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Improving access to safe drinking water through construction of new water sources and rehabilitation of existing ones</w:t>
            </w:r>
          </w:p>
          <w:p w14:paraId="58A74831"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 Increased vaccination for rotavirus, typhoid, measles, influenza</w:t>
            </w:r>
          </w:p>
          <w:p w14:paraId="24897212"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Strengthen multi-sectoral collaboration between nutrition sensitive and specific </w:t>
            </w:r>
            <w:proofErr w:type="gramStart"/>
            <w:r w:rsidRPr="00A37620">
              <w:rPr>
                <w:rFonts w:asciiTheme="majorHAnsi" w:eastAsia="Gill Sans" w:hAnsiTheme="majorHAnsi" w:cs="Gill Sans"/>
                <w:sz w:val="22"/>
                <w:szCs w:val="22"/>
              </w:rPr>
              <w:t>programing</w:t>
            </w:r>
            <w:proofErr w:type="gramEnd"/>
            <w:r w:rsidRPr="00A37620">
              <w:rPr>
                <w:rFonts w:asciiTheme="majorHAnsi" w:eastAsia="Gill Sans" w:hAnsiTheme="majorHAnsi" w:cs="Gill Sans"/>
                <w:sz w:val="22"/>
                <w:szCs w:val="22"/>
              </w:rPr>
              <w:t xml:space="preserve">  </w:t>
            </w:r>
          </w:p>
          <w:p w14:paraId="47E9D01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Construction and re-operationalization of non-functional health care facilities </w:t>
            </w:r>
          </w:p>
          <w:p w14:paraId="6FE0DAF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203E3DE8"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 xml:space="preserve">Improving infrastructure access to health facilities </w:t>
            </w:r>
          </w:p>
          <w:p w14:paraId="0ED9BC0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Increase Staffing in health facilities. </w:t>
            </w:r>
          </w:p>
          <w:p w14:paraId="520F5513"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313F8F66"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Improve supply chain management and distribution of drugs and supplements</w:t>
            </w:r>
          </w:p>
        </w:tc>
        <w:tc>
          <w:tcPr>
            <w:tcW w:w="0" w:type="auto"/>
          </w:tcPr>
          <w:p w14:paraId="6E6CF932"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r>
      <w:tr w:rsidR="00A37620" w:rsidRPr="00A37620" w14:paraId="607DBA4A" w14:textId="77777777" w:rsidTr="00A37620">
        <w:trPr>
          <w:trHeight w:val="1139"/>
        </w:trPr>
        <w:tc>
          <w:tcPr>
            <w:tcW w:w="0" w:type="auto"/>
          </w:tcPr>
          <w:p w14:paraId="662762A0"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0FFF734A"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Handwashing at four critical </w:t>
            </w:r>
            <w:proofErr w:type="gramStart"/>
            <w:r w:rsidRPr="00A37620">
              <w:rPr>
                <w:rFonts w:asciiTheme="majorHAnsi" w:eastAsia="Gill Sans" w:hAnsiTheme="majorHAnsi" w:cs="Gill Sans"/>
                <w:sz w:val="22"/>
                <w:szCs w:val="22"/>
              </w:rPr>
              <w:t>times;</w:t>
            </w:r>
            <w:proofErr w:type="gramEnd"/>
          </w:p>
          <w:p w14:paraId="55F68538"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At HH level at 13.0% down from 27.81% in 2023 with a notable decrease in handwashing after taking children to the toilet from 34.4% in 2023 to 19.4% in 2024. </w:t>
            </w:r>
          </w:p>
        </w:tc>
        <w:tc>
          <w:tcPr>
            <w:tcW w:w="0" w:type="auto"/>
          </w:tcPr>
          <w:p w14:paraId="6D619D0B" w14:textId="77777777" w:rsidR="00A37620" w:rsidRPr="00A37620" w:rsidRDefault="00A37620" w:rsidP="00F8644F">
            <w:pPr>
              <w:spacing w:after="0" w:line="276" w:lineRule="auto"/>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Procure and distribute water treatment </w:t>
            </w:r>
            <w:proofErr w:type="gramStart"/>
            <w:r w:rsidRPr="00A37620">
              <w:rPr>
                <w:rFonts w:asciiTheme="majorHAnsi" w:eastAsia="Gill Sans" w:hAnsiTheme="majorHAnsi" w:cs="Gill Sans"/>
                <w:sz w:val="22"/>
                <w:szCs w:val="22"/>
              </w:rPr>
              <w:t>chemicals</w:t>
            </w:r>
            <w:proofErr w:type="gramEnd"/>
          </w:p>
          <w:p w14:paraId="2E1731A0"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Hygiene promotion on the importance of consumption of treated water including demonstration and installation of hand washing stations. at household level</w:t>
            </w:r>
          </w:p>
          <w:p w14:paraId="4AD794E6" w14:textId="77777777" w:rsidR="00A37620" w:rsidRPr="00A37620" w:rsidRDefault="00A37620" w:rsidP="00F8644F">
            <w:pPr>
              <w:spacing w:after="0"/>
              <w:rPr>
                <w:rFonts w:asciiTheme="majorHAnsi" w:eastAsia="Gill Sans" w:hAnsiTheme="majorHAnsi" w:cs="Gill Sans"/>
                <w:sz w:val="22"/>
                <w:szCs w:val="22"/>
              </w:rPr>
            </w:pPr>
          </w:p>
          <w:p w14:paraId="4B782A39"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Use of social marketing and SBCC i.e., </w:t>
            </w:r>
            <w:proofErr w:type="spellStart"/>
            <w:r w:rsidRPr="00A37620">
              <w:rPr>
                <w:rFonts w:asciiTheme="majorHAnsi" w:eastAsia="Gill Sans" w:hAnsiTheme="majorHAnsi" w:cs="Gill Sans"/>
                <w:sz w:val="22"/>
                <w:szCs w:val="22"/>
              </w:rPr>
              <w:t>biosand</w:t>
            </w:r>
            <w:proofErr w:type="spellEnd"/>
            <w:r w:rsidRPr="00A37620">
              <w:rPr>
                <w:rFonts w:asciiTheme="majorHAnsi" w:eastAsia="Gill Sans" w:hAnsiTheme="majorHAnsi" w:cs="Gill Sans"/>
                <w:sz w:val="22"/>
                <w:szCs w:val="22"/>
              </w:rPr>
              <w:t xml:space="preserve"> filters </w:t>
            </w:r>
          </w:p>
        </w:tc>
        <w:tc>
          <w:tcPr>
            <w:tcW w:w="0" w:type="auto"/>
          </w:tcPr>
          <w:p w14:paraId="5BF8B169"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Monitor and evaluate impact of hand washing interventions, hygiene behaviors and health outcomes.</w:t>
            </w:r>
          </w:p>
          <w:p w14:paraId="6EBAE7C7"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Drilling of bore holes to access safe water. </w:t>
            </w:r>
          </w:p>
          <w:p w14:paraId="135AA6F2"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Construction of more water pans </w:t>
            </w:r>
          </w:p>
          <w:p w14:paraId="17C349E3"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Lobby for a policy document on water users’ association to streamline the water management at community level to increase access.</w:t>
            </w:r>
          </w:p>
        </w:tc>
        <w:tc>
          <w:tcPr>
            <w:tcW w:w="0" w:type="auto"/>
          </w:tcPr>
          <w:p w14:paraId="39F6573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 xml:space="preserve"> County Department of Water and Partners</w:t>
            </w:r>
          </w:p>
          <w:p w14:paraId="3A7DADD4"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028282B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63DDAB7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4A0850F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3C172F48"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STAWI</w:t>
            </w:r>
          </w:p>
        </w:tc>
      </w:tr>
      <w:tr w:rsidR="00A37620" w:rsidRPr="00A37620" w14:paraId="76FBDC45" w14:textId="77777777" w:rsidTr="00A37620">
        <w:trPr>
          <w:trHeight w:val="3747"/>
        </w:trPr>
        <w:tc>
          <w:tcPr>
            <w:tcW w:w="0" w:type="auto"/>
          </w:tcPr>
          <w:p w14:paraId="5260A09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p w14:paraId="5FFEB14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48E3CF81"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36.9% of HHs do not have any toilet facility while only 55.8% of HH using improved toilet facility.</w:t>
            </w:r>
          </w:p>
          <w:p w14:paraId="669C521D"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Open defecation increased marginally from 24.4% in 2023 to 36.9% in 2024 </w:t>
            </w:r>
          </w:p>
        </w:tc>
        <w:tc>
          <w:tcPr>
            <w:tcW w:w="0" w:type="auto"/>
          </w:tcPr>
          <w:p w14:paraId="2AD51DF2"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Upscale and adopt CLTS approach, retriggering, and re- energising CLTS villages.</w:t>
            </w:r>
          </w:p>
          <w:p w14:paraId="04C0EF57" w14:textId="77777777" w:rsidR="00B944BC" w:rsidRDefault="00B944BC" w:rsidP="00F8644F">
            <w:pPr>
              <w:spacing w:after="0"/>
              <w:rPr>
                <w:rFonts w:asciiTheme="majorHAnsi" w:eastAsia="Gill Sans" w:hAnsiTheme="majorHAnsi" w:cs="Gill Sans"/>
                <w:sz w:val="22"/>
                <w:szCs w:val="22"/>
              </w:rPr>
            </w:pPr>
          </w:p>
          <w:p w14:paraId="5F2081E6" w14:textId="10E38DBB"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Complementing CLTS with sanitation marketing to improve adoption of durable sanitation. </w:t>
            </w:r>
          </w:p>
          <w:p w14:paraId="7D243C1A" w14:textId="77777777" w:rsidR="00A37620" w:rsidRPr="00A37620" w:rsidRDefault="00A37620" w:rsidP="00F8644F">
            <w:pPr>
              <w:spacing w:after="0"/>
              <w:rPr>
                <w:rFonts w:asciiTheme="majorHAnsi" w:eastAsia="Gill Sans" w:hAnsiTheme="majorHAnsi" w:cs="Gill Sans"/>
                <w:sz w:val="22"/>
                <w:szCs w:val="22"/>
              </w:rPr>
            </w:pPr>
          </w:p>
        </w:tc>
        <w:tc>
          <w:tcPr>
            <w:tcW w:w="0" w:type="auto"/>
          </w:tcPr>
          <w:p w14:paraId="7222B2B2"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 Targeted training of local artisans on construction of durable climate proof latrines </w:t>
            </w:r>
          </w:p>
          <w:p w14:paraId="60F0409F"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Evaluate the impact cost effectiveness of CLTS approach.</w:t>
            </w:r>
          </w:p>
          <w:p w14:paraId="2A3FA27B"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Development of a County sanitation policy</w:t>
            </w:r>
          </w:p>
          <w:p w14:paraId="1EF7BDC4"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Development and roll-out of county sanitation road map </w:t>
            </w:r>
          </w:p>
        </w:tc>
        <w:tc>
          <w:tcPr>
            <w:tcW w:w="0" w:type="auto"/>
          </w:tcPr>
          <w:p w14:paraId="2137DBE6"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r>
      <w:tr w:rsidR="00A37620" w:rsidRPr="00A37620" w14:paraId="0D84365F" w14:textId="77777777" w:rsidTr="00A37620">
        <w:trPr>
          <w:trHeight w:val="841"/>
        </w:trPr>
        <w:tc>
          <w:tcPr>
            <w:tcW w:w="0" w:type="auto"/>
          </w:tcPr>
          <w:p w14:paraId="373E3B7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c>
          <w:tcPr>
            <w:tcW w:w="0" w:type="auto"/>
          </w:tcPr>
          <w:p w14:paraId="697C8D43"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Only 31.9% of HHs treat water using different water treatment technologies. </w:t>
            </w:r>
          </w:p>
          <w:p w14:paraId="6A442A4A"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Only 69.3% of HHs drink water from protected/treated sources </w:t>
            </w:r>
          </w:p>
        </w:tc>
        <w:tc>
          <w:tcPr>
            <w:tcW w:w="0" w:type="auto"/>
          </w:tcPr>
          <w:p w14:paraId="541748C0" w14:textId="77777777" w:rsidR="00A37620" w:rsidRPr="00A37620" w:rsidRDefault="00A37620" w:rsidP="00F8644F">
            <w:pPr>
              <w:spacing w:before="240" w:after="0" w:line="276" w:lineRule="auto"/>
              <w:jc w:val="both"/>
              <w:rPr>
                <w:rFonts w:asciiTheme="majorHAnsi" w:eastAsia="Gill Sans" w:hAnsiTheme="majorHAnsi" w:cs="Gill Sans"/>
                <w:sz w:val="22"/>
                <w:szCs w:val="22"/>
              </w:rPr>
            </w:pPr>
            <w:r w:rsidRPr="00A37620">
              <w:rPr>
                <w:rFonts w:asciiTheme="majorHAnsi" w:eastAsia="Gill Sans" w:hAnsiTheme="majorHAnsi" w:cs="Gill Sans"/>
                <w:sz w:val="22"/>
                <w:szCs w:val="22"/>
              </w:rPr>
              <w:t>Provide access to affordable and effective household water treatment commodities.</w:t>
            </w:r>
          </w:p>
          <w:p w14:paraId="1C4ECEDC" w14:textId="77777777" w:rsidR="00A37620" w:rsidRPr="00A37620" w:rsidRDefault="00A37620" w:rsidP="00B944BC">
            <w:pPr>
              <w:spacing w:before="240" w:after="0" w:line="276" w:lineRule="auto"/>
              <w:rPr>
                <w:rFonts w:asciiTheme="majorHAnsi" w:eastAsia="Gill Sans" w:hAnsiTheme="majorHAnsi" w:cs="Gill Sans"/>
                <w:sz w:val="22"/>
                <w:szCs w:val="22"/>
              </w:rPr>
            </w:pPr>
            <w:r w:rsidRPr="00A37620">
              <w:rPr>
                <w:rFonts w:asciiTheme="majorHAnsi" w:eastAsia="Gill Sans" w:hAnsiTheme="majorHAnsi" w:cs="Gill Sans"/>
                <w:sz w:val="22"/>
                <w:szCs w:val="22"/>
              </w:rPr>
              <w:t>Support establishment &amp; maintenance of community-based water treatment systems.</w:t>
            </w:r>
          </w:p>
          <w:p w14:paraId="5E60DCD3" w14:textId="78AA9D1E" w:rsidR="00A37620" w:rsidRPr="00B944BC" w:rsidRDefault="00A37620" w:rsidP="00B944BC">
            <w:pPr>
              <w:spacing w:before="240" w:after="0" w:line="276" w:lineRule="auto"/>
              <w:jc w:val="both"/>
              <w:rPr>
                <w:rFonts w:asciiTheme="majorHAnsi" w:eastAsia="Arial" w:hAnsiTheme="majorHAnsi" w:cs="Arial"/>
                <w:sz w:val="22"/>
                <w:szCs w:val="22"/>
              </w:rPr>
            </w:pPr>
            <w:r w:rsidRPr="00A37620">
              <w:rPr>
                <w:rFonts w:asciiTheme="majorHAnsi" w:eastAsia="Gill Sans" w:hAnsiTheme="majorHAnsi" w:cs="Gill Sans"/>
                <w:sz w:val="22"/>
                <w:szCs w:val="22"/>
              </w:rPr>
              <w:t>Treatment of water at the main source</w:t>
            </w:r>
            <w:r w:rsidRPr="00A37620">
              <w:rPr>
                <w:rFonts w:asciiTheme="majorHAnsi" w:eastAsia="Arial" w:hAnsiTheme="majorHAnsi" w:cs="Arial"/>
                <w:sz w:val="22"/>
                <w:szCs w:val="22"/>
              </w:rPr>
              <w:t xml:space="preserve"> </w:t>
            </w:r>
          </w:p>
        </w:tc>
        <w:tc>
          <w:tcPr>
            <w:tcW w:w="0" w:type="auto"/>
          </w:tcPr>
          <w:p w14:paraId="45047D38"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Support linkage with last mile vendors for the water treatment commodities. </w:t>
            </w:r>
          </w:p>
          <w:p w14:paraId="58449CC4" w14:textId="77777777" w:rsidR="00A37620" w:rsidRPr="00A37620" w:rsidRDefault="00A37620" w:rsidP="00F8644F">
            <w:pPr>
              <w:spacing w:after="0"/>
              <w:rPr>
                <w:rFonts w:asciiTheme="majorHAnsi" w:eastAsia="Gill Sans" w:hAnsiTheme="majorHAnsi" w:cs="Gill Sans"/>
                <w:sz w:val="22"/>
                <w:szCs w:val="22"/>
              </w:rPr>
            </w:pPr>
          </w:p>
          <w:p w14:paraId="5B3EF9B9"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Establish water safety plans in community managed water systems. </w:t>
            </w:r>
          </w:p>
          <w:p w14:paraId="19FF04FA"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Monitor and evaluate the impact of household water treatment. </w:t>
            </w:r>
          </w:p>
          <w:p w14:paraId="676EAB55" w14:textId="77777777" w:rsidR="00A37620" w:rsidRPr="00A37620" w:rsidRDefault="00A37620" w:rsidP="00F8644F">
            <w:pPr>
              <w:spacing w:after="0"/>
              <w:rPr>
                <w:rFonts w:asciiTheme="majorHAnsi" w:eastAsia="Gill Sans" w:hAnsiTheme="majorHAnsi" w:cs="Gill Sans"/>
                <w:sz w:val="22"/>
                <w:szCs w:val="22"/>
              </w:rPr>
            </w:pPr>
          </w:p>
          <w:p w14:paraId="1BAFC4C8" w14:textId="77777777" w:rsidR="00A37620" w:rsidRPr="00A37620" w:rsidRDefault="00A37620" w:rsidP="00F8644F">
            <w:pPr>
              <w:spacing w:after="0"/>
              <w:rPr>
                <w:rFonts w:asciiTheme="majorHAnsi" w:eastAsia="Gill Sans" w:hAnsiTheme="majorHAnsi" w:cs="Gill Sans"/>
                <w:sz w:val="22"/>
                <w:szCs w:val="22"/>
              </w:rPr>
            </w:pPr>
          </w:p>
        </w:tc>
        <w:tc>
          <w:tcPr>
            <w:tcW w:w="0" w:type="auto"/>
          </w:tcPr>
          <w:p w14:paraId="411CEB85"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p>
        </w:tc>
      </w:tr>
      <w:tr w:rsidR="00A37620" w:rsidRPr="00A37620" w14:paraId="195F0E7A" w14:textId="77777777" w:rsidTr="00A37620">
        <w:trPr>
          <w:trHeight w:val="841"/>
        </w:trPr>
        <w:tc>
          <w:tcPr>
            <w:tcW w:w="0" w:type="auto"/>
          </w:tcPr>
          <w:p w14:paraId="242680F4"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color w:val="000000"/>
                <w:sz w:val="22"/>
                <w:szCs w:val="22"/>
              </w:rPr>
            </w:pPr>
            <w:r w:rsidRPr="00A37620">
              <w:rPr>
                <w:rFonts w:asciiTheme="majorHAnsi" w:eastAsia="Gill Sans" w:hAnsiTheme="majorHAnsi" w:cs="Gill Sans"/>
                <w:color w:val="000000"/>
                <w:sz w:val="22"/>
                <w:szCs w:val="22"/>
              </w:rPr>
              <w:t>FOOD SECURITY AND LIVELIHOOD</w:t>
            </w:r>
          </w:p>
        </w:tc>
        <w:tc>
          <w:tcPr>
            <w:tcW w:w="0" w:type="auto"/>
          </w:tcPr>
          <w:p w14:paraId="742DCB15" w14:textId="77777777" w:rsidR="00A37620" w:rsidRPr="00A37620" w:rsidRDefault="00A37620" w:rsidP="00F8644F">
            <w:pPr>
              <w:spacing w:before="240" w:after="24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Noted improvement in food consumption with proportion of households at poor food consumption </w:t>
            </w:r>
            <w:r w:rsidRPr="00A37620">
              <w:rPr>
                <w:rFonts w:asciiTheme="majorHAnsi" w:eastAsia="Gill Sans" w:hAnsiTheme="majorHAnsi" w:cs="Gill Sans"/>
                <w:sz w:val="22"/>
                <w:szCs w:val="22"/>
              </w:rPr>
              <w:lastRenderedPageBreak/>
              <w:t xml:space="preserve">reducing from 23.9% in 2023 to 5% in 2024 while proportion of households at acceptable food consumption score increased from 38.9% to 59.0%. </w:t>
            </w:r>
          </w:p>
          <w:p w14:paraId="1BD4D88C"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5% of HHs had Food consumption score at poor and 36% of HH at </w:t>
            </w:r>
            <w:proofErr w:type="gramStart"/>
            <w:r w:rsidRPr="00A37620">
              <w:rPr>
                <w:rFonts w:asciiTheme="majorHAnsi" w:eastAsia="Gill Sans" w:hAnsiTheme="majorHAnsi" w:cs="Gill Sans"/>
                <w:sz w:val="22"/>
                <w:szCs w:val="22"/>
              </w:rPr>
              <w:t>borderline</w:t>
            </w:r>
            <w:proofErr w:type="gramEnd"/>
            <w:r w:rsidRPr="00A37620">
              <w:rPr>
                <w:rFonts w:asciiTheme="majorHAnsi" w:eastAsia="Gill Sans" w:hAnsiTheme="majorHAnsi" w:cs="Gill Sans"/>
                <w:sz w:val="22"/>
                <w:szCs w:val="22"/>
              </w:rPr>
              <w:t> </w:t>
            </w:r>
          </w:p>
          <w:p w14:paraId="4F842656" w14:textId="77777777" w:rsidR="00A37620" w:rsidRPr="00A37620" w:rsidRDefault="00A37620" w:rsidP="00F8644F">
            <w:pPr>
              <w:rPr>
                <w:rFonts w:asciiTheme="majorHAnsi" w:eastAsia="Gill Sans" w:hAnsiTheme="majorHAnsi" w:cs="Gill Sans"/>
                <w:sz w:val="22"/>
                <w:szCs w:val="22"/>
              </w:rPr>
            </w:pPr>
            <w:proofErr w:type="gramStart"/>
            <w:r w:rsidRPr="00A37620">
              <w:rPr>
                <w:rFonts w:asciiTheme="majorHAnsi" w:eastAsia="Gill Sans" w:hAnsiTheme="majorHAnsi" w:cs="Gill Sans"/>
                <w:sz w:val="22"/>
                <w:szCs w:val="22"/>
              </w:rPr>
              <w:t>The  rCSI</w:t>
            </w:r>
            <w:proofErr w:type="gramEnd"/>
            <w:r w:rsidRPr="00A37620">
              <w:rPr>
                <w:rFonts w:asciiTheme="majorHAnsi" w:eastAsia="Gill Sans" w:hAnsiTheme="majorHAnsi" w:cs="Gill Sans"/>
                <w:sz w:val="22"/>
                <w:szCs w:val="22"/>
              </w:rPr>
              <w:t xml:space="preserve"> high at 12.71 </w:t>
            </w:r>
          </w:p>
          <w:p w14:paraId="1BBF82EB" w14:textId="77777777" w:rsidR="00A37620" w:rsidRPr="00A37620" w:rsidRDefault="00A37620" w:rsidP="00F8644F">
            <w:pPr>
              <w:rPr>
                <w:rFonts w:asciiTheme="majorHAnsi" w:eastAsia="Gill Sans" w:hAnsiTheme="majorHAnsi" w:cs="Gill Sans"/>
                <w:sz w:val="22"/>
                <w:szCs w:val="22"/>
              </w:rPr>
            </w:pPr>
            <w:r w:rsidRPr="00A37620">
              <w:rPr>
                <w:rFonts w:asciiTheme="majorHAnsi" w:eastAsia="Gill Sans" w:hAnsiTheme="majorHAnsi" w:cs="Gill Sans"/>
                <w:sz w:val="22"/>
                <w:szCs w:val="22"/>
              </w:rPr>
              <w:t>Increase in HHs with moderate hunger score from 37.8% in 2023 to 43.8% in 2024.</w:t>
            </w:r>
          </w:p>
          <w:p w14:paraId="1D0E2466" w14:textId="77777777" w:rsidR="00A37620" w:rsidRPr="00A37620" w:rsidRDefault="00A37620" w:rsidP="00F8644F">
            <w:pPr>
              <w:rPr>
                <w:rFonts w:asciiTheme="majorHAnsi" w:eastAsia="Gill Sans" w:hAnsiTheme="majorHAnsi" w:cs="Gill Sans"/>
                <w:sz w:val="22"/>
                <w:szCs w:val="22"/>
              </w:rPr>
            </w:pPr>
          </w:p>
          <w:p w14:paraId="42972B48" w14:textId="77777777" w:rsidR="00A37620" w:rsidRPr="00A37620" w:rsidRDefault="00A37620" w:rsidP="00F8644F">
            <w:pP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72% of women consumed &lt;5 food </w:t>
            </w:r>
            <w:proofErr w:type="gramStart"/>
            <w:r w:rsidRPr="00A37620">
              <w:rPr>
                <w:rFonts w:asciiTheme="majorHAnsi" w:eastAsia="Gill Sans" w:hAnsiTheme="majorHAnsi" w:cs="Gill Sans"/>
                <w:sz w:val="22"/>
                <w:szCs w:val="22"/>
              </w:rPr>
              <w:t>groups</w:t>
            </w:r>
            <w:proofErr w:type="gramEnd"/>
          </w:p>
          <w:p w14:paraId="3C6434E9" w14:textId="77777777" w:rsidR="00A37620" w:rsidRPr="00A37620" w:rsidRDefault="00A37620" w:rsidP="00F8644F">
            <w:pPr>
              <w:rPr>
                <w:rFonts w:asciiTheme="majorHAnsi" w:eastAsia="Gill Sans" w:hAnsiTheme="majorHAnsi" w:cs="Gill Sans"/>
                <w:sz w:val="22"/>
                <w:szCs w:val="22"/>
              </w:rPr>
            </w:pPr>
          </w:p>
        </w:tc>
        <w:tc>
          <w:tcPr>
            <w:tcW w:w="0" w:type="auto"/>
          </w:tcPr>
          <w:p w14:paraId="6B4E9A9F"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lastRenderedPageBreak/>
              <w:t>Promotion of Nutrition Education and Behaviour change through Trainings</w:t>
            </w:r>
            <w:r w:rsidRPr="00A37620">
              <w:rPr>
                <w:rFonts w:asciiTheme="majorHAnsi" w:eastAsia="Gill Sans" w:hAnsiTheme="majorHAnsi" w:cs="Gill Sans"/>
                <w:color w:val="0D0D0D"/>
                <w:sz w:val="22"/>
                <w:szCs w:val="22"/>
              </w:rPr>
              <w:t xml:space="preserve">: Conduct workshops or seminars to educate households about nutrition, balanced diets, and </w:t>
            </w:r>
            <w:r w:rsidRPr="00A37620">
              <w:rPr>
                <w:rFonts w:asciiTheme="majorHAnsi" w:eastAsia="Gill Sans" w:hAnsiTheme="majorHAnsi" w:cs="Gill Sans"/>
                <w:color w:val="0D0D0D"/>
                <w:sz w:val="22"/>
                <w:szCs w:val="22"/>
              </w:rPr>
              <w:lastRenderedPageBreak/>
              <w:t>healthy cooking methods. Empower them with knowledge on how to make the most out of limited resources to ensure adequate nutrition.</w:t>
            </w:r>
          </w:p>
          <w:p w14:paraId="418EA6A5"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color w:val="0D0D0D"/>
                <w:sz w:val="22"/>
                <w:szCs w:val="22"/>
              </w:rPr>
              <w:t xml:space="preserve">-Incorporate nutrition promotion and education around food and sustainable food systems that builds on existing local knowledge, </w:t>
            </w:r>
            <w:proofErr w:type="gramStart"/>
            <w:r w:rsidRPr="00A37620">
              <w:rPr>
                <w:rFonts w:asciiTheme="majorHAnsi" w:eastAsia="Gill Sans" w:hAnsiTheme="majorHAnsi" w:cs="Gill Sans"/>
                <w:color w:val="0D0D0D"/>
                <w:sz w:val="22"/>
                <w:szCs w:val="22"/>
              </w:rPr>
              <w:t>attitudes</w:t>
            </w:r>
            <w:proofErr w:type="gramEnd"/>
            <w:r w:rsidRPr="00A37620">
              <w:rPr>
                <w:rFonts w:asciiTheme="majorHAnsi" w:eastAsia="Gill Sans" w:hAnsiTheme="majorHAnsi" w:cs="Gill Sans"/>
                <w:color w:val="0D0D0D"/>
                <w:sz w:val="22"/>
                <w:szCs w:val="22"/>
              </w:rPr>
              <w:t xml:space="preserve"> and practices. Nutrition knowledge can enhance the impact of production and income in rural households, especially important for women and young children, and can increase demand for nutritious foods in the general population.</w:t>
            </w:r>
          </w:p>
          <w:p w14:paraId="2E685062"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Promotion of Kitchen Gardens</w:t>
            </w:r>
            <w:r w:rsidRPr="00A37620">
              <w:rPr>
                <w:rFonts w:asciiTheme="majorHAnsi" w:eastAsia="Gill Sans" w:hAnsiTheme="majorHAnsi" w:cs="Gill Sans"/>
                <w:color w:val="0D0D0D"/>
                <w:sz w:val="22"/>
                <w:szCs w:val="22"/>
              </w:rPr>
              <w:t>: Encourage households to start small kitchen gardens. Provide training on gardening techniques and distribute seeds or seedlings for vegetables and herbs that are easy to grow. This can supplement their food intake with fresh produce.</w:t>
            </w:r>
          </w:p>
          <w:p w14:paraId="2A96F650"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Facilitate production diversification and increase production of nutrient-dense crops</w:t>
            </w:r>
            <w:r w:rsidRPr="00A37620">
              <w:rPr>
                <w:rFonts w:asciiTheme="majorHAnsi" w:eastAsia="Gill Sans" w:hAnsiTheme="majorHAnsi" w:cs="Gill Sans"/>
                <w:color w:val="0D0D0D"/>
                <w:sz w:val="22"/>
                <w:szCs w:val="22"/>
              </w:rPr>
              <w:t xml:space="preserve"> </w:t>
            </w:r>
            <w:r w:rsidRPr="00A37620">
              <w:rPr>
                <w:rFonts w:asciiTheme="majorHAnsi" w:eastAsia="Gill Sans" w:hAnsiTheme="majorHAnsi" w:cs="Gill Sans"/>
                <w:b/>
                <w:color w:val="0D0D0D"/>
                <w:sz w:val="22"/>
                <w:szCs w:val="22"/>
              </w:rPr>
              <w:t>and small-scale livestock</w:t>
            </w:r>
            <w:r w:rsidRPr="00A37620">
              <w:rPr>
                <w:rFonts w:asciiTheme="majorHAnsi" w:eastAsia="Gill Sans" w:hAnsiTheme="majorHAnsi" w:cs="Gill Sans"/>
                <w:color w:val="0D0D0D"/>
                <w:sz w:val="22"/>
                <w:szCs w:val="22"/>
              </w:rPr>
              <w:t xml:space="preserve"> (for example, horticultural products, legumes, livestock and fish at a small scale, underutilised crops, and </w:t>
            </w:r>
            <w:r w:rsidRPr="00A37620">
              <w:rPr>
                <w:rFonts w:asciiTheme="majorHAnsi" w:eastAsia="Gill Sans" w:hAnsiTheme="majorHAnsi" w:cs="Gill Sans"/>
                <w:color w:val="0D0D0D"/>
                <w:sz w:val="22"/>
                <w:szCs w:val="22"/>
              </w:rPr>
              <w:lastRenderedPageBreak/>
              <w:t xml:space="preserve">biofortified crops). Diversified production systems are important to vulnerable producers to enable resilience to climate and price shocks, more diverse food consumption, reduction of seasonal food and income fluctuations, and greater and more gender-equitable income </w:t>
            </w:r>
            <w:proofErr w:type="gramStart"/>
            <w:r w:rsidRPr="00A37620">
              <w:rPr>
                <w:rFonts w:asciiTheme="majorHAnsi" w:eastAsia="Gill Sans" w:hAnsiTheme="majorHAnsi" w:cs="Gill Sans"/>
                <w:color w:val="0D0D0D"/>
                <w:sz w:val="22"/>
                <w:szCs w:val="22"/>
              </w:rPr>
              <w:t>generation</w:t>
            </w:r>
            <w:proofErr w:type="gramEnd"/>
          </w:p>
          <w:p w14:paraId="7C74374C"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117A4F74"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Implementation of</w:t>
            </w:r>
            <w:r w:rsidRPr="00A37620">
              <w:rPr>
                <w:rFonts w:asciiTheme="majorHAnsi" w:eastAsia="Gill Sans" w:hAnsiTheme="majorHAnsi" w:cs="Gill Sans"/>
                <w:color w:val="0D0D0D"/>
                <w:sz w:val="22"/>
                <w:szCs w:val="22"/>
              </w:rPr>
              <w:t xml:space="preserve"> </w:t>
            </w:r>
            <w:r w:rsidRPr="00A37620">
              <w:rPr>
                <w:rFonts w:asciiTheme="majorHAnsi" w:eastAsia="Gill Sans" w:hAnsiTheme="majorHAnsi" w:cs="Gill Sans"/>
                <w:b/>
                <w:color w:val="0D0D0D"/>
                <w:sz w:val="22"/>
                <w:szCs w:val="22"/>
              </w:rPr>
              <w:t>Agricultural Development Programs</w:t>
            </w:r>
            <w:r w:rsidRPr="00A37620">
              <w:rPr>
                <w:rFonts w:asciiTheme="majorHAnsi" w:eastAsia="Gill Sans" w:hAnsiTheme="majorHAnsi" w:cs="Gill Sans"/>
                <w:color w:val="0D0D0D"/>
                <w:sz w:val="22"/>
                <w:szCs w:val="22"/>
              </w:rPr>
              <w:t xml:space="preserve">: </w:t>
            </w:r>
          </w:p>
          <w:p w14:paraId="1C46DDE6"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color w:val="0D0D0D"/>
                <w:sz w:val="22"/>
                <w:szCs w:val="22"/>
              </w:rPr>
              <w:t>Implement agricultural development programs aimed at increasing food production and diversification. This can include providing access to improved seeds, fertilisers, and irrigation systems, as well as training in modern farming techniques to enhance productivity and resilience to climate change.</w:t>
            </w:r>
          </w:p>
          <w:p w14:paraId="65842FE0"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Promotion of Food Preservation Techniques and Value addition</w:t>
            </w:r>
            <w:r w:rsidRPr="00A37620">
              <w:rPr>
                <w:rFonts w:asciiTheme="majorHAnsi" w:eastAsia="Gill Sans" w:hAnsiTheme="majorHAnsi" w:cs="Gill Sans"/>
                <w:color w:val="0D0D0D"/>
                <w:sz w:val="22"/>
                <w:szCs w:val="22"/>
              </w:rPr>
              <w:t>: Provide training on food preservation techniques such as drying, canning, and pickling. This helps households store surplus food for longer times and reduces food waste.</w:t>
            </w:r>
          </w:p>
          <w:p w14:paraId="1B2D9046"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3E04967C"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lastRenderedPageBreak/>
              <w:t xml:space="preserve">Encourage </w:t>
            </w:r>
            <w:proofErr w:type="spellStart"/>
            <w:proofErr w:type="gramStart"/>
            <w:r w:rsidRPr="00A37620">
              <w:rPr>
                <w:rFonts w:asciiTheme="majorHAnsi" w:eastAsia="Gill Sans" w:hAnsiTheme="majorHAnsi" w:cs="Gill Sans"/>
                <w:b/>
                <w:color w:val="0D0D0D"/>
                <w:sz w:val="22"/>
                <w:szCs w:val="22"/>
              </w:rPr>
              <w:t>HouseHolds</w:t>
            </w:r>
            <w:proofErr w:type="spellEnd"/>
            <w:r w:rsidRPr="00A37620">
              <w:rPr>
                <w:rFonts w:asciiTheme="majorHAnsi" w:eastAsia="Gill Sans" w:hAnsiTheme="majorHAnsi" w:cs="Gill Sans"/>
                <w:b/>
                <w:color w:val="0D0D0D"/>
                <w:sz w:val="22"/>
                <w:szCs w:val="22"/>
              </w:rPr>
              <w:t xml:space="preserve">  Kitchen</w:t>
            </w:r>
            <w:proofErr w:type="gramEnd"/>
            <w:r w:rsidRPr="00A37620">
              <w:rPr>
                <w:rFonts w:asciiTheme="majorHAnsi" w:eastAsia="Gill Sans" w:hAnsiTheme="majorHAnsi" w:cs="Gill Sans"/>
                <w:b/>
                <w:color w:val="0D0D0D"/>
                <w:sz w:val="22"/>
                <w:szCs w:val="22"/>
              </w:rPr>
              <w:t xml:space="preserve"> Initiatives</w:t>
            </w:r>
            <w:r w:rsidRPr="00A37620">
              <w:rPr>
                <w:rFonts w:asciiTheme="majorHAnsi" w:eastAsia="Gill Sans" w:hAnsiTheme="majorHAnsi" w:cs="Gill Sans"/>
                <w:color w:val="0D0D0D"/>
                <w:sz w:val="22"/>
                <w:szCs w:val="22"/>
              </w:rPr>
              <w:t>: Encourage the formation of common Household kitchens where households can pool resources and cook meals together, reducing the cost burden and ensuring access to nutritious meals.</w:t>
            </w:r>
          </w:p>
          <w:p w14:paraId="1ED82B8B"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Enhance Monitoring and Evaluation</w:t>
            </w:r>
            <w:r w:rsidRPr="00A37620">
              <w:rPr>
                <w:rFonts w:asciiTheme="majorHAnsi" w:eastAsia="Gill Sans" w:hAnsiTheme="majorHAnsi" w:cs="Gill Sans"/>
                <w:color w:val="0D0D0D"/>
                <w:sz w:val="22"/>
                <w:szCs w:val="22"/>
              </w:rPr>
              <w:t>: Regularly monitor the impact of interventions through food consumption surveys and household assessments. Adjust strategies based on feedback and emerging needs.</w:t>
            </w:r>
          </w:p>
          <w:p w14:paraId="57D12E60"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Partnerships with NGOs and Government Agencies</w:t>
            </w:r>
            <w:r w:rsidRPr="00A37620">
              <w:rPr>
                <w:rFonts w:asciiTheme="majorHAnsi" w:eastAsia="Gill Sans" w:hAnsiTheme="majorHAnsi" w:cs="Gill Sans"/>
                <w:color w:val="0D0D0D"/>
                <w:sz w:val="22"/>
                <w:szCs w:val="22"/>
              </w:rPr>
              <w:t>: Collaborate with non-governmental organisations (NGOs) and government agencies to leverage resources and expertise in implementing food security programs effectively.</w:t>
            </w:r>
          </w:p>
          <w:p w14:paraId="32E04B63"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Promotion of Food Diversity</w:t>
            </w:r>
            <w:r w:rsidRPr="00A37620">
              <w:rPr>
                <w:rFonts w:asciiTheme="majorHAnsi" w:eastAsia="Gill Sans" w:hAnsiTheme="majorHAnsi" w:cs="Gill Sans"/>
                <w:color w:val="0D0D0D"/>
                <w:sz w:val="22"/>
                <w:szCs w:val="22"/>
              </w:rPr>
              <w:t xml:space="preserve">: Encourage households to diversify their food sources by consuming a variety of foods from different food groups to ensure they obtain essential nutrients. For </w:t>
            </w:r>
            <w:proofErr w:type="gramStart"/>
            <w:r w:rsidRPr="00A37620">
              <w:rPr>
                <w:rFonts w:asciiTheme="majorHAnsi" w:eastAsia="Gill Sans" w:hAnsiTheme="majorHAnsi" w:cs="Gill Sans"/>
                <w:color w:val="0D0D0D"/>
                <w:sz w:val="22"/>
                <w:szCs w:val="22"/>
              </w:rPr>
              <w:t>example</w:t>
            </w:r>
            <w:proofErr w:type="gramEnd"/>
            <w:r w:rsidRPr="00A37620">
              <w:rPr>
                <w:rFonts w:asciiTheme="majorHAnsi" w:eastAsia="Gill Sans" w:hAnsiTheme="majorHAnsi" w:cs="Gill Sans"/>
                <w:color w:val="0D0D0D"/>
                <w:sz w:val="22"/>
                <w:szCs w:val="22"/>
              </w:rPr>
              <w:t xml:space="preserve"> High Iron Rich Beans, OFSP, Fish, Darky leafy green vegetables and tradition vegetables and fruits</w:t>
            </w:r>
          </w:p>
          <w:p w14:paraId="61B8E24A"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0CCE1C1C" w14:textId="77777777" w:rsidR="00A37620" w:rsidRPr="00A37620" w:rsidRDefault="00A37620" w:rsidP="00F8644F">
            <w:pPr>
              <w:spacing w:after="0"/>
              <w:jc w:val="both"/>
              <w:rPr>
                <w:rFonts w:asciiTheme="majorHAnsi" w:eastAsia="Gill Sans" w:hAnsiTheme="majorHAnsi" w:cs="Gill Sans"/>
                <w:color w:val="0D0D0D"/>
                <w:sz w:val="22"/>
                <w:szCs w:val="22"/>
                <w:highlight w:val="white"/>
              </w:rPr>
            </w:pPr>
            <w:r w:rsidRPr="00A37620">
              <w:rPr>
                <w:rFonts w:asciiTheme="majorHAnsi" w:eastAsia="Gill Sans" w:hAnsiTheme="majorHAnsi" w:cs="Gill Sans"/>
                <w:b/>
                <w:color w:val="0D0D0D"/>
                <w:sz w:val="22"/>
                <w:szCs w:val="22"/>
                <w:highlight w:val="white"/>
              </w:rPr>
              <w:lastRenderedPageBreak/>
              <w:t>Enhance Nutrition Support Programs</w:t>
            </w:r>
            <w:r w:rsidRPr="00A37620">
              <w:rPr>
                <w:rFonts w:asciiTheme="majorHAnsi" w:eastAsia="Gill Sans" w:hAnsiTheme="majorHAnsi" w:cs="Gill Sans"/>
                <w:color w:val="0D0D0D"/>
                <w:sz w:val="22"/>
                <w:szCs w:val="22"/>
                <w:highlight w:val="white"/>
              </w:rPr>
              <w:t>:</w:t>
            </w:r>
          </w:p>
          <w:p w14:paraId="5A190EE0" w14:textId="77777777" w:rsidR="00A37620" w:rsidRPr="00A37620" w:rsidRDefault="00A37620" w:rsidP="00F8644F">
            <w:pPr>
              <w:spacing w:after="0"/>
              <w:jc w:val="both"/>
              <w:rPr>
                <w:rFonts w:asciiTheme="majorHAnsi" w:eastAsia="Gill Sans" w:hAnsiTheme="majorHAnsi" w:cs="Gill Sans"/>
                <w:color w:val="0D0D0D"/>
                <w:sz w:val="22"/>
                <w:szCs w:val="22"/>
                <w:highlight w:val="white"/>
              </w:rPr>
            </w:pPr>
            <w:r w:rsidRPr="00A37620">
              <w:rPr>
                <w:rFonts w:asciiTheme="majorHAnsi" w:eastAsia="Gill Sans" w:hAnsiTheme="majorHAnsi" w:cs="Gill Sans"/>
                <w:color w:val="0D0D0D"/>
                <w:sz w:val="22"/>
                <w:szCs w:val="22"/>
                <w:highlight w:val="white"/>
              </w:rPr>
              <w:t xml:space="preserve">Launch targeted nutrition support programs for vulnerable groups, including Mother to mother support groups, </w:t>
            </w:r>
          </w:p>
          <w:p w14:paraId="0E5C83C4" w14:textId="77777777" w:rsidR="00A37620" w:rsidRPr="00A37620" w:rsidRDefault="00A37620" w:rsidP="00F8644F">
            <w:pPr>
              <w:spacing w:after="0"/>
              <w:jc w:val="both"/>
              <w:rPr>
                <w:rFonts w:asciiTheme="majorHAnsi" w:eastAsia="Gill Sans" w:hAnsiTheme="majorHAnsi" w:cs="Gill Sans"/>
                <w:color w:val="0D0D0D"/>
                <w:sz w:val="22"/>
                <w:szCs w:val="22"/>
                <w:highlight w:val="white"/>
              </w:rPr>
            </w:pPr>
            <w:r w:rsidRPr="00A37620">
              <w:rPr>
                <w:rFonts w:asciiTheme="majorHAnsi" w:eastAsia="Gill Sans" w:hAnsiTheme="majorHAnsi" w:cs="Gill Sans"/>
                <w:color w:val="0D0D0D"/>
                <w:sz w:val="22"/>
                <w:szCs w:val="22"/>
                <w:highlight w:val="white"/>
              </w:rPr>
              <w:t>pregnant women, lactating mothers, infants, and young children. Provide</w:t>
            </w:r>
          </w:p>
          <w:p w14:paraId="0E37A842" w14:textId="77777777" w:rsidR="00A37620" w:rsidRPr="00A37620" w:rsidRDefault="00A37620" w:rsidP="00F8644F">
            <w:pPr>
              <w:spacing w:after="0"/>
              <w:jc w:val="both"/>
              <w:rPr>
                <w:rFonts w:asciiTheme="majorHAnsi" w:eastAsia="Gill Sans" w:hAnsiTheme="majorHAnsi" w:cs="Gill Sans"/>
                <w:color w:val="0D0D0D"/>
                <w:sz w:val="22"/>
                <w:szCs w:val="22"/>
                <w:highlight w:val="white"/>
              </w:rPr>
            </w:pPr>
            <w:r w:rsidRPr="00A37620">
              <w:rPr>
                <w:rFonts w:asciiTheme="majorHAnsi" w:eastAsia="Gill Sans" w:hAnsiTheme="majorHAnsi" w:cs="Gill Sans"/>
                <w:color w:val="0D0D0D"/>
                <w:sz w:val="22"/>
                <w:szCs w:val="22"/>
                <w:highlight w:val="white"/>
              </w:rPr>
              <w:t>fortified food products, such as fortified cereals or micronutrient</w:t>
            </w:r>
          </w:p>
          <w:p w14:paraId="083EAC58" w14:textId="77777777" w:rsidR="00A37620" w:rsidRPr="00A37620" w:rsidRDefault="00A37620" w:rsidP="00F8644F">
            <w:pPr>
              <w:spacing w:after="0"/>
              <w:jc w:val="both"/>
              <w:rPr>
                <w:rFonts w:asciiTheme="majorHAnsi" w:eastAsia="Gill Sans" w:hAnsiTheme="majorHAnsi" w:cs="Gill Sans"/>
                <w:sz w:val="22"/>
                <w:szCs w:val="22"/>
              </w:rPr>
            </w:pPr>
            <w:r w:rsidRPr="00A37620">
              <w:rPr>
                <w:rFonts w:asciiTheme="majorHAnsi" w:eastAsia="Gill Sans" w:hAnsiTheme="majorHAnsi" w:cs="Gill Sans"/>
                <w:color w:val="0D0D0D"/>
                <w:sz w:val="22"/>
                <w:szCs w:val="22"/>
                <w:highlight w:val="white"/>
              </w:rPr>
              <w:t>supplements, to improve their nutritional intake</w:t>
            </w:r>
            <w:r w:rsidRPr="00A37620">
              <w:rPr>
                <w:rFonts w:asciiTheme="majorHAnsi" w:eastAsia="Gill Sans" w:hAnsiTheme="majorHAnsi" w:cs="Gill Sans"/>
                <w:sz w:val="22"/>
                <w:szCs w:val="22"/>
              </w:rPr>
              <w:t xml:space="preserve">. Promoting cooking demonstrations to enhance food acceptance and social behaviour change to certain foods to improve consumption of safe, </w:t>
            </w:r>
            <w:proofErr w:type="gramStart"/>
            <w:r w:rsidRPr="00A37620">
              <w:rPr>
                <w:rFonts w:asciiTheme="majorHAnsi" w:eastAsia="Gill Sans" w:hAnsiTheme="majorHAnsi" w:cs="Gill Sans"/>
                <w:sz w:val="22"/>
                <w:szCs w:val="22"/>
              </w:rPr>
              <w:t>healthy</w:t>
            </w:r>
            <w:proofErr w:type="gramEnd"/>
            <w:r w:rsidRPr="00A37620">
              <w:rPr>
                <w:rFonts w:asciiTheme="majorHAnsi" w:eastAsia="Gill Sans" w:hAnsiTheme="majorHAnsi" w:cs="Gill Sans"/>
                <w:sz w:val="22"/>
                <w:szCs w:val="22"/>
              </w:rPr>
              <w:t xml:space="preserve"> and nutritious foods.</w:t>
            </w:r>
          </w:p>
        </w:tc>
        <w:tc>
          <w:tcPr>
            <w:tcW w:w="0" w:type="auto"/>
          </w:tcPr>
          <w:p w14:paraId="67666091"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color w:val="0D0D0D"/>
                <w:sz w:val="22"/>
                <w:szCs w:val="22"/>
              </w:rPr>
              <w:lastRenderedPageBreak/>
              <w:t xml:space="preserve"> </w:t>
            </w:r>
            <w:r w:rsidRPr="00A37620">
              <w:rPr>
                <w:rFonts w:asciiTheme="majorHAnsi" w:eastAsia="Gill Sans" w:hAnsiTheme="majorHAnsi" w:cs="Gill Sans"/>
                <w:b/>
                <w:color w:val="0D0D0D"/>
                <w:sz w:val="22"/>
                <w:szCs w:val="22"/>
              </w:rPr>
              <w:t>Agricultural Development Programs</w:t>
            </w:r>
            <w:r w:rsidRPr="00A37620">
              <w:rPr>
                <w:rFonts w:asciiTheme="majorHAnsi" w:eastAsia="Gill Sans" w:hAnsiTheme="majorHAnsi" w:cs="Gill Sans"/>
                <w:color w:val="0D0D0D"/>
                <w:sz w:val="22"/>
                <w:szCs w:val="22"/>
              </w:rPr>
              <w:t xml:space="preserve">: </w:t>
            </w:r>
          </w:p>
          <w:p w14:paraId="5D938825"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color w:val="0D0D0D"/>
                <w:sz w:val="22"/>
                <w:szCs w:val="22"/>
              </w:rPr>
              <w:t xml:space="preserve">Implement agricultural development programs aimed at increasing food </w:t>
            </w:r>
            <w:r w:rsidRPr="00A37620">
              <w:rPr>
                <w:rFonts w:asciiTheme="majorHAnsi" w:eastAsia="Gill Sans" w:hAnsiTheme="majorHAnsi" w:cs="Gill Sans"/>
                <w:color w:val="0D0D0D"/>
                <w:sz w:val="22"/>
                <w:szCs w:val="22"/>
              </w:rPr>
              <w:lastRenderedPageBreak/>
              <w:t>production and diversification. This can include providing access to improved seeds, fertilizers, and irrigation systems, as well as training in modern farming techniques to enhance productivity and resilience to climate change. Introduction of Agri-food hubs that will promote long term self reliance and job creation to the communities involved.</w:t>
            </w:r>
          </w:p>
          <w:p w14:paraId="7FDADBBD"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0A2CDBDF"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Monitor dietary consumption and access to safe, diverse, and nutritious foods</w:t>
            </w:r>
            <w:r w:rsidRPr="00A37620">
              <w:rPr>
                <w:rFonts w:asciiTheme="majorHAnsi" w:eastAsia="Gill Sans" w:hAnsiTheme="majorHAnsi" w:cs="Gill Sans"/>
                <w:color w:val="0D0D0D"/>
                <w:sz w:val="22"/>
                <w:szCs w:val="22"/>
              </w:rPr>
              <w:t>; The data could include food prices of diverse foods, and dietary consumption indicators for vulnerable groups.</w:t>
            </w:r>
          </w:p>
          <w:p w14:paraId="54B6D503"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Infrastructure Development</w:t>
            </w:r>
            <w:r w:rsidRPr="00A37620">
              <w:rPr>
                <w:rFonts w:asciiTheme="majorHAnsi" w:eastAsia="Gill Sans" w:hAnsiTheme="majorHAnsi" w:cs="Gill Sans"/>
                <w:color w:val="0D0D0D"/>
                <w:sz w:val="22"/>
                <w:szCs w:val="22"/>
              </w:rPr>
              <w:t>: Invest in infrastructure development in rural areas, such as storage facilities, and market linkages. Improved infrastructure facilitates access to markets, reduces post-harvest losses, and enhances the overall efficiency of the food supply chain.</w:t>
            </w:r>
          </w:p>
          <w:p w14:paraId="5107618C"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Empowerment of Women</w:t>
            </w:r>
            <w:r w:rsidRPr="00A37620">
              <w:rPr>
                <w:rFonts w:asciiTheme="majorHAnsi" w:eastAsia="Gill Sans" w:hAnsiTheme="majorHAnsi" w:cs="Gill Sans"/>
                <w:color w:val="0D0D0D"/>
                <w:sz w:val="22"/>
                <w:szCs w:val="22"/>
              </w:rPr>
              <w:t xml:space="preserve">: Promote gender equality and empower women through initiatives that enhance their access to resources, education, and decision-making </w:t>
            </w:r>
            <w:r w:rsidRPr="00A37620">
              <w:rPr>
                <w:rFonts w:asciiTheme="majorHAnsi" w:eastAsia="Gill Sans" w:hAnsiTheme="majorHAnsi" w:cs="Gill Sans"/>
                <w:color w:val="0D0D0D"/>
                <w:sz w:val="22"/>
                <w:szCs w:val="22"/>
              </w:rPr>
              <w:lastRenderedPageBreak/>
              <w:t xml:space="preserve">power within households and communities. Women play a crucial role in food production and household </w:t>
            </w:r>
            <w:proofErr w:type="gramStart"/>
            <w:r w:rsidRPr="00A37620">
              <w:rPr>
                <w:rFonts w:asciiTheme="majorHAnsi" w:eastAsia="Gill Sans" w:hAnsiTheme="majorHAnsi" w:cs="Gill Sans"/>
                <w:color w:val="0D0D0D"/>
                <w:sz w:val="22"/>
                <w:szCs w:val="22"/>
              </w:rPr>
              <w:t>nutrition, and</w:t>
            </w:r>
            <w:proofErr w:type="gramEnd"/>
            <w:r w:rsidRPr="00A37620">
              <w:rPr>
                <w:rFonts w:asciiTheme="majorHAnsi" w:eastAsia="Gill Sans" w:hAnsiTheme="majorHAnsi" w:cs="Gill Sans"/>
                <w:color w:val="0D0D0D"/>
                <w:sz w:val="22"/>
                <w:szCs w:val="22"/>
              </w:rPr>
              <w:t xml:space="preserve"> empowering them can lead to improved food security outcomes.</w:t>
            </w:r>
          </w:p>
          <w:p w14:paraId="23361D3D"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6E0C7DC8"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Enhance Community-Based Approaches</w:t>
            </w:r>
            <w:r w:rsidRPr="00A37620">
              <w:rPr>
                <w:rFonts w:asciiTheme="majorHAnsi" w:eastAsia="Gill Sans" w:hAnsiTheme="majorHAnsi" w:cs="Gill Sans"/>
                <w:color w:val="0D0D0D"/>
                <w:sz w:val="22"/>
                <w:szCs w:val="22"/>
              </w:rPr>
              <w:t xml:space="preserve">: Foster community-based approaches to food security through the establishment of community gardens, cooperatives, and savings </w:t>
            </w:r>
            <w:proofErr w:type="gramStart"/>
            <w:r w:rsidRPr="00A37620">
              <w:rPr>
                <w:rFonts w:asciiTheme="majorHAnsi" w:eastAsia="Gill Sans" w:hAnsiTheme="majorHAnsi" w:cs="Gill Sans"/>
                <w:color w:val="0D0D0D"/>
                <w:sz w:val="22"/>
                <w:szCs w:val="22"/>
              </w:rPr>
              <w:t>groups(</w:t>
            </w:r>
            <w:proofErr w:type="gramEnd"/>
            <w:r w:rsidRPr="00A37620">
              <w:rPr>
                <w:rFonts w:asciiTheme="majorHAnsi" w:eastAsia="Gill Sans" w:hAnsiTheme="majorHAnsi" w:cs="Gill Sans"/>
                <w:color w:val="0D0D0D"/>
                <w:sz w:val="22"/>
                <w:szCs w:val="22"/>
              </w:rPr>
              <w:t>VSLAs and SILC, CBOs). These initiatives encourage collective action, knowledge sharing, and resource pooling among community members to address food insecurity collectively.</w:t>
            </w:r>
          </w:p>
          <w:p w14:paraId="3A80AB66"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Develop</w:t>
            </w:r>
            <w:r w:rsidRPr="00A37620">
              <w:rPr>
                <w:rFonts w:asciiTheme="majorHAnsi" w:eastAsia="Gill Sans" w:hAnsiTheme="majorHAnsi" w:cs="Gill Sans"/>
                <w:color w:val="0D0D0D"/>
                <w:sz w:val="22"/>
                <w:szCs w:val="22"/>
              </w:rPr>
              <w:t xml:space="preserve"> </w:t>
            </w:r>
            <w:r w:rsidRPr="00A37620">
              <w:rPr>
                <w:rFonts w:asciiTheme="majorHAnsi" w:eastAsia="Gill Sans" w:hAnsiTheme="majorHAnsi" w:cs="Gill Sans"/>
                <w:b/>
                <w:color w:val="0D0D0D"/>
                <w:sz w:val="22"/>
                <w:szCs w:val="22"/>
              </w:rPr>
              <w:t>Climate Resilience Strategies</w:t>
            </w:r>
            <w:r w:rsidRPr="00A37620">
              <w:rPr>
                <w:rFonts w:asciiTheme="majorHAnsi" w:eastAsia="Gill Sans" w:hAnsiTheme="majorHAnsi" w:cs="Gill Sans"/>
                <w:color w:val="0D0D0D"/>
                <w:sz w:val="22"/>
                <w:szCs w:val="22"/>
              </w:rPr>
              <w:t>: Develop climate resilience strategies to mitigate the impact of climate change on agriculture and food security. This can involve promoting drought-resistant crops, agroforestry practices, and water harvesting techniques to adapt to changing environmental conditions.  Promoting of superior breeds and introduction of livestock production systems like feedlots.</w:t>
            </w:r>
          </w:p>
          <w:p w14:paraId="21E15513"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lastRenderedPageBreak/>
              <w:t>Integrating Nutrition-Sensitive Agriculture</w:t>
            </w:r>
            <w:r w:rsidRPr="00A37620">
              <w:rPr>
                <w:rFonts w:asciiTheme="majorHAnsi" w:eastAsia="Gill Sans" w:hAnsiTheme="majorHAnsi" w:cs="Gill Sans"/>
                <w:color w:val="0D0D0D"/>
                <w:sz w:val="22"/>
                <w:szCs w:val="22"/>
              </w:rPr>
              <w:t>: Integrate nutrition-sensitive agriculture practices into agricultural development programs to promote the production and consumption of diverse, nutrient-rich foods. This includes promoting the cultivation of fruits, vegetables, and legumes rich in essential vitamins and minerals and ensuring sustainability of the same.</w:t>
            </w:r>
          </w:p>
          <w:p w14:paraId="22B6CB90"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 xml:space="preserve">Promotion </w:t>
            </w:r>
            <w:proofErr w:type="gramStart"/>
            <w:r w:rsidRPr="00A37620">
              <w:rPr>
                <w:rFonts w:asciiTheme="majorHAnsi" w:eastAsia="Gill Sans" w:hAnsiTheme="majorHAnsi" w:cs="Gill Sans"/>
                <w:b/>
                <w:color w:val="0D0D0D"/>
                <w:sz w:val="22"/>
                <w:szCs w:val="22"/>
              </w:rPr>
              <w:t xml:space="preserve">of </w:t>
            </w:r>
            <w:r w:rsidRPr="00A37620">
              <w:rPr>
                <w:rFonts w:asciiTheme="majorHAnsi" w:eastAsia="Gill Sans" w:hAnsiTheme="majorHAnsi" w:cs="Gill Sans"/>
                <w:color w:val="0D0D0D"/>
                <w:sz w:val="22"/>
                <w:szCs w:val="22"/>
              </w:rPr>
              <w:t xml:space="preserve"> </w:t>
            </w:r>
            <w:r w:rsidRPr="00A37620">
              <w:rPr>
                <w:rFonts w:asciiTheme="majorHAnsi" w:eastAsia="Gill Sans" w:hAnsiTheme="majorHAnsi" w:cs="Gill Sans"/>
                <w:b/>
                <w:color w:val="0D0D0D"/>
                <w:sz w:val="22"/>
                <w:szCs w:val="22"/>
              </w:rPr>
              <w:t>Education</w:t>
            </w:r>
            <w:proofErr w:type="gramEnd"/>
            <w:r w:rsidRPr="00A37620">
              <w:rPr>
                <w:rFonts w:asciiTheme="majorHAnsi" w:eastAsia="Gill Sans" w:hAnsiTheme="majorHAnsi" w:cs="Gill Sans"/>
                <w:b/>
                <w:color w:val="0D0D0D"/>
                <w:sz w:val="22"/>
                <w:szCs w:val="22"/>
              </w:rPr>
              <w:t xml:space="preserve"> and Awareness Campaigns</w:t>
            </w:r>
            <w:r w:rsidRPr="00A37620">
              <w:rPr>
                <w:rFonts w:asciiTheme="majorHAnsi" w:eastAsia="Gill Sans" w:hAnsiTheme="majorHAnsi" w:cs="Gill Sans"/>
                <w:color w:val="0D0D0D"/>
                <w:sz w:val="22"/>
                <w:szCs w:val="22"/>
              </w:rPr>
              <w:t>: Conduct education and awareness campaigns on nutrition, hygiene, and healthy cooking practices to promote social  behaviour change at the household level. Empowering households with knowledge about balanced diets and good nutrition practices can improve food consumption scores over the long term.</w:t>
            </w:r>
          </w:p>
          <w:p w14:paraId="3A44E5C2"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Strengthen multi stakeholder platform for nutrition (MSP-N)</w:t>
            </w:r>
            <w:r w:rsidRPr="00A37620">
              <w:rPr>
                <w:rFonts w:asciiTheme="majorHAnsi" w:eastAsia="Gill Sans" w:hAnsiTheme="majorHAnsi" w:cs="Gill Sans"/>
                <w:color w:val="0D0D0D"/>
                <w:sz w:val="22"/>
                <w:szCs w:val="22"/>
              </w:rPr>
              <w:t xml:space="preserve"> </w:t>
            </w:r>
            <w:proofErr w:type="spellStart"/>
            <w:r w:rsidRPr="00A37620">
              <w:rPr>
                <w:rFonts w:asciiTheme="majorHAnsi" w:eastAsia="Gill Sans" w:hAnsiTheme="majorHAnsi" w:cs="Gill Sans"/>
                <w:color w:val="0D0D0D"/>
                <w:sz w:val="22"/>
                <w:szCs w:val="22"/>
              </w:rPr>
              <w:t>ie</w:t>
            </w:r>
            <w:proofErr w:type="spellEnd"/>
            <w:r w:rsidRPr="00A37620">
              <w:rPr>
                <w:rFonts w:asciiTheme="majorHAnsi" w:eastAsia="Gill Sans" w:hAnsiTheme="majorHAnsi" w:cs="Gill Sans"/>
                <w:color w:val="0D0D0D"/>
                <w:sz w:val="22"/>
                <w:szCs w:val="22"/>
              </w:rPr>
              <w:t xml:space="preserve"> health, environment, social protection, labor, water and sanitation, education, energy) and programmes, through joint strategies with common goals, to address </w:t>
            </w:r>
            <w:r w:rsidRPr="00A37620">
              <w:rPr>
                <w:rFonts w:asciiTheme="majorHAnsi" w:eastAsia="Gill Sans" w:hAnsiTheme="majorHAnsi" w:cs="Gill Sans"/>
                <w:color w:val="0D0D0D"/>
                <w:sz w:val="22"/>
                <w:szCs w:val="22"/>
              </w:rPr>
              <w:lastRenderedPageBreak/>
              <w:t xml:space="preserve">concurrently the multiple underlying causes of malnutrition. </w:t>
            </w:r>
          </w:p>
          <w:p w14:paraId="002F1D05"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2A78FE9E"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 xml:space="preserve">Sustainably Maintain </w:t>
            </w:r>
            <w:proofErr w:type="gramStart"/>
            <w:r w:rsidRPr="00A37620">
              <w:rPr>
                <w:rFonts w:asciiTheme="majorHAnsi" w:eastAsia="Gill Sans" w:hAnsiTheme="majorHAnsi" w:cs="Gill Sans"/>
                <w:b/>
                <w:color w:val="0D0D0D"/>
                <w:sz w:val="22"/>
                <w:szCs w:val="22"/>
              </w:rPr>
              <w:t>and  improve</w:t>
            </w:r>
            <w:proofErr w:type="gramEnd"/>
            <w:r w:rsidRPr="00A37620">
              <w:rPr>
                <w:rFonts w:asciiTheme="majorHAnsi" w:eastAsia="Gill Sans" w:hAnsiTheme="majorHAnsi" w:cs="Gill Sans"/>
                <w:b/>
                <w:color w:val="0D0D0D"/>
                <w:sz w:val="22"/>
                <w:szCs w:val="22"/>
              </w:rPr>
              <w:t xml:space="preserve"> the natural resource base</w:t>
            </w:r>
            <w:r w:rsidRPr="00A37620">
              <w:rPr>
                <w:rFonts w:asciiTheme="majorHAnsi" w:eastAsia="Gill Sans" w:hAnsiTheme="majorHAnsi" w:cs="Gill Sans"/>
                <w:color w:val="0D0D0D"/>
                <w:sz w:val="22"/>
                <w:szCs w:val="22"/>
              </w:rPr>
              <w:t xml:space="preserve"> (water, soil, air, climate, biodiversity), critical to the livelihoods and resilience of vulnerable farmers and to sustainable food and nutrition security for all. Manage water resources </w:t>
            </w:r>
            <w:proofErr w:type="gramStart"/>
            <w:r w:rsidRPr="00A37620">
              <w:rPr>
                <w:rFonts w:asciiTheme="majorHAnsi" w:eastAsia="Gill Sans" w:hAnsiTheme="majorHAnsi" w:cs="Gill Sans"/>
                <w:color w:val="0D0D0D"/>
                <w:sz w:val="22"/>
                <w:szCs w:val="22"/>
              </w:rPr>
              <w:t>in particular to</w:t>
            </w:r>
            <w:proofErr w:type="gramEnd"/>
            <w:r w:rsidRPr="00A37620">
              <w:rPr>
                <w:rFonts w:asciiTheme="majorHAnsi" w:eastAsia="Gill Sans" w:hAnsiTheme="majorHAnsi" w:cs="Gill Sans"/>
                <w:color w:val="0D0D0D"/>
                <w:sz w:val="22"/>
                <w:szCs w:val="22"/>
              </w:rPr>
              <w:t xml:space="preserve"> reduce vector-borne illness and to ensure sustainable, safe household water sources.</w:t>
            </w:r>
          </w:p>
          <w:p w14:paraId="7ECCB6E8"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0E91E3C3"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Advocating for Policy Support and Advocacy</w:t>
            </w:r>
            <w:r w:rsidRPr="00A37620">
              <w:rPr>
                <w:rFonts w:asciiTheme="majorHAnsi" w:eastAsia="Gill Sans" w:hAnsiTheme="majorHAnsi" w:cs="Gill Sans"/>
                <w:color w:val="0D0D0D"/>
                <w:sz w:val="22"/>
                <w:szCs w:val="22"/>
              </w:rPr>
              <w:t>: Advocate for supportive policies and investments in agriculture, nutrition, and social protection at the national and local levels. Policy support is essential for creating an enabling environment for sustainable food security interventions and ensuring their long-term impact.</w:t>
            </w:r>
          </w:p>
          <w:p w14:paraId="0DDB5E86"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p>
          <w:p w14:paraId="33C5F460" w14:textId="77777777" w:rsidR="00A37620" w:rsidRPr="00A37620" w:rsidRDefault="00A37620" w:rsidP="00F8644F">
            <w:pPr>
              <w:shd w:val="clear" w:color="auto" w:fill="FFFFFF"/>
              <w:spacing w:after="0"/>
              <w:jc w:val="both"/>
              <w:rPr>
                <w:rFonts w:asciiTheme="majorHAnsi" w:eastAsia="Gill Sans" w:hAnsiTheme="majorHAnsi" w:cs="Gill Sans"/>
                <w:color w:val="0D0D0D"/>
                <w:sz w:val="22"/>
                <w:szCs w:val="22"/>
              </w:rPr>
            </w:pPr>
            <w:r w:rsidRPr="00A37620">
              <w:rPr>
                <w:rFonts w:asciiTheme="majorHAnsi" w:eastAsia="Gill Sans" w:hAnsiTheme="majorHAnsi" w:cs="Gill Sans"/>
                <w:b/>
                <w:color w:val="0D0D0D"/>
                <w:sz w:val="22"/>
                <w:szCs w:val="22"/>
              </w:rPr>
              <w:t xml:space="preserve">Promoting and supporting the 4K Club Initiative and Young Farmers: </w:t>
            </w:r>
            <w:r w:rsidRPr="00A37620">
              <w:rPr>
                <w:rFonts w:asciiTheme="majorHAnsi" w:eastAsia="Gill Sans" w:hAnsiTheme="majorHAnsi" w:cs="Gill Sans"/>
                <w:color w:val="0D0D0D"/>
                <w:sz w:val="22"/>
                <w:szCs w:val="22"/>
              </w:rPr>
              <w:t xml:space="preserve">Collaboration and partnerships between members of the 4K Club, </w:t>
            </w:r>
            <w:r w:rsidRPr="00A37620">
              <w:rPr>
                <w:rFonts w:asciiTheme="majorHAnsi" w:eastAsia="Gill Sans" w:hAnsiTheme="majorHAnsi" w:cs="Gill Sans"/>
                <w:color w:val="0D0D0D"/>
                <w:sz w:val="22"/>
                <w:szCs w:val="22"/>
              </w:rPr>
              <w:lastRenderedPageBreak/>
              <w:t xml:space="preserve">Young Farmers, agricultural experts, policymakers, and community organisations can amplify efforts to improve food security and livelihoods. By pooling resources, expertise, and networks, stakeholders can implement scalable solutions that address root causes of food insecurity and create sustainable livelihood opportunities for vulnerable population. </w:t>
            </w:r>
          </w:p>
          <w:p w14:paraId="55BC6734" w14:textId="77777777" w:rsidR="00A37620" w:rsidRPr="00A37620" w:rsidRDefault="00A37620" w:rsidP="00F8644F">
            <w:pPr>
              <w:shd w:val="clear" w:color="auto" w:fill="FFFFFF"/>
              <w:spacing w:after="0"/>
              <w:jc w:val="both"/>
              <w:rPr>
                <w:rFonts w:asciiTheme="majorHAnsi" w:eastAsia="Gill Sans" w:hAnsiTheme="majorHAnsi" w:cs="Gill Sans"/>
                <w:sz w:val="22"/>
                <w:szCs w:val="22"/>
              </w:rPr>
            </w:pPr>
            <w:r w:rsidRPr="00A37620">
              <w:rPr>
                <w:rFonts w:asciiTheme="majorHAnsi" w:eastAsia="Gill Sans" w:hAnsiTheme="majorHAnsi" w:cs="Gill Sans"/>
                <w:b/>
                <w:color w:val="0D0D0D"/>
                <w:sz w:val="22"/>
                <w:szCs w:val="22"/>
              </w:rPr>
              <w:t>Expand markets and market access</w:t>
            </w:r>
            <w:r w:rsidRPr="00A37620">
              <w:rPr>
                <w:rFonts w:asciiTheme="majorHAnsi" w:eastAsia="Gill Sans" w:hAnsiTheme="majorHAnsi" w:cs="Gill Sans"/>
                <w:color w:val="0D0D0D"/>
                <w:sz w:val="22"/>
                <w:szCs w:val="22"/>
              </w:rPr>
              <w:t xml:space="preserve"> for vulnerable groups, particularly for marketing nutritious foods or products vulnerable groups have a comparative advantage in producing. This can include innovative promotion (such as marketing based on nutrient content), value addition, access to price information, and farmer associations. </w:t>
            </w:r>
          </w:p>
        </w:tc>
        <w:tc>
          <w:tcPr>
            <w:tcW w:w="0" w:type="auto"/>
          </w:tcPr>
          <w:p w14:paraId="37D02336"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National Government-MOAL &amp; F</w:t>
            </w:r>
          </w:p>
          <w:p w14:paraId="46E3A8F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26D68146"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 xml:space="preserve">Department of </w:t>
            </w:r>
            <w:proofErr w:type="gramStart"/>
            <w:r w:rsidRPr="00A37620">
              <w:rPr>
                <w:rFonts w:asciiTheme="majorHAnsi" w:eastAsia="Gill Sans" w:hAnsiTheme="majorHAnsi" w:cs="Gill Sans"/>
                <w:sz w:val="22"/>
                <w:szCs w:val="22"/>
              </w:rPr>
              <w:t>Agriculture-Isiolo county</w:t>
            </w:r>
            <w:proofErr w:type="gramEnd"/>
          </w:p>
          <w:p w14:paraId="0E2A16FA"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7FC01F4D"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World Food Program (WFP)</w:t>
            </w:r>
          </w:p>
          <w:p w14:paraId="087DCCC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5D26A9D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NDMA</w:t>
            </w:r>
          </w:p>
          <w:p w14:paraId="2F4D8C7F"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4D13A83F"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NACONEK-School Feeding Program</w:t>
            </w:r>
          </w:p>
          <w:p w14:paraId="062A5700"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p w14:paraId="215853DF"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Department of Health</w:t>
            </w:r>
          </w:p>
          <w:p w14:paraId="549666A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ACF</w:t>
            </w:r>
          </w:p>
          <w:p w14:paraId="28EE04CB"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Nawiri</w:t>
            </w:r>
          </w:p>
          <w:p w14:paraId="4E3AA295"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SNV</w:t>
            </w:r>
          </w:p>
          <w:p w14:paraId="3A7C08DE"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 xml:space="preserve">World Vision </w:t>
            </w:r>
          </w:p>
          <w:p w14:paraId="436D053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roofErr w:type="spellStart"/>
            <w:r w:rsidRPr="00A37620">
              <w:rPr>
                <w:rFonts w:asciiTheme="majorHAnsi" w:eastAsia="Gill Sans" w:hAnsiTheme="majorHAnsi" w:cs="Gill Sans"/>
                <w:sz w:val="22"/>
                <w:szCs w:val="22"/>
              </w:rPr>
              <w:t>MId</w:t>
            </w:r>
            <w:proofErr w:type="spellEnd"/>
            <w:r w:rsidRPr="00A37620">
              <w:rPr>
                <w:rFonts w:asciiTheme="majorHAnsi" w:eastAsia="Gill Sans" w:hAnsiTheme="majorHAnsi" w:cs="Gill Sans"/>
                <w:sz w:val="22"/>
                <w:szCs w:val="22"/>
              </w:rPr>
              <w:t>-P</w:t>
            </w:r>
          </w:p>
          <w:p w14:paraId="486DDD48"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We-World</w:t>
            </w:r>
          </w:p>
          <w:p w14:paraId="39CEE5E1"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VSF</w:t>
            </w:r>
          </w:p>
          <w:p w14:paraId="5155B098"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LMS</w:t>
            </w:r>
          </w:p>
          <w:p w14:paraId="5F649879"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lastRenderedPageBreak/>
              <w:t>ILRI</w:t>
            </w:r>
          </w:p>
          <w:p w14:paraId="313A5152"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FAO</w:t>
            </w:r>
          </w:p>
          <w:p w14:paraId="254E77D4"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r w:rsidRPr="00A37620">
              <w:rPr>
                <w:rFonts w:asciiTheme="majorHAnsi" w:eastAsia="Gill Sans" w:hAnsiTheme="majorHAnsi" w:cs="Gill Sans"/>
                <w:sz w:val="22"/>
                <w:szCs w:val="22"/>
              </w:rPr>
              <w:t>Research and Academic Institutions</w:t>
            </w:r>
          </w:p>
          <w:p w14:paraId="4E57CCF7" w14:textId="77777777" w:rsidR="00A37620" w:rsidRPr="00A37620" w:rsidRDefault="00A37620" w:rsidP="00F8644F">
            <w:pPr>
              <w:pBdr>
                <w:top w:val="nil"/>
                <w:left w:val="nil"/>
                <w:bottom w:val="nil"/>
                <w:right w:val="nil"/>
                <w:between w:val="nil"/>
              </w:pBdr>
              <w:spacing w:after="0"/>
              <w:rPr>
                <w:rFonts w:asciiTheme="majorHAnsi" w:eastAsia="Gill Sans" w:hAnsiTheme="majorHAnsi" w:cs="Gill Sans"/>
                <w:sz w:val="22"/>
                <w:szCs w:val="22"/>
              </w:rPr>
            </w:pPr>
          </w:p>
        </w:tc>
      </w:tr>
    </w:tbl>
    <w:p w14:paraId="1E0C23BD" w14:textId="77777777" w:rsidR="00A37620" w:rsidRDefault="00A37620" w:rsidP="00A37620"/>
    <w:p w14:paraId="3F4DB6E9" w14:textId="77777777" w:rsidR="00A37620" w:rsidRDefault="00A37620" w:rsidP="00A37620"/>
    <w:p w14:paraId="503DE9D9" w14:textId="77777777" w:rsidR="00A37620" w:rsidRDefault="00A37620" w:rsidP="00A37620">
      <w:pPr>
        <w:sectPr w:rsidR="00A37620" w:rsidSect="0088658D">
          <w:pgSz w:w="15840" w:h="12240" w:orient="landscape"/>
          <w:pgMar w:top="1440" w:right="1440" w:bottom="1440" w:left="1440" w:header="708" w:footer="708" w:gutter="0"/>
          <w:cols w:space="708"/>
          <w:titlePg/>
          <w:docGrid w:linePitch="360"/>
        </w:sectPr>
      </w:pPr>
    </w:p>
    <w:p w14:paraId="732A52A5" w14:textId="77777777" w:rsidR="00BC28CE" w:rsidRDefault="00000000">
      <w:pPr>
        <w:pStyle w:val="H1nonum"/>
      </w:pPr>
      <w:bookmarkStart w:id="224" w:name="_Toc161945703"/>
      <w:r w:rsidRPr="00E5329F">
        <w:rPr>
          <w:i w:val="0"/>
          <w:iCs/>
        </w:rPr>
        <w:lastRenderedPageBreak/>
        <w:t>Annexes</w:t>
      </w:r>
      <w:bookmarkEnd w:id="224"/>
    </w:p>
    <w:p w14:paraId="39B167D2" w14:textId="77777777" w:rsidR="00BC28CE" w:rsidRPr="00E5329F" w:rsidRDefault="00000000">
      <w:pPr>
        <w:pStyle w:val="H1letter"/>
        <w:rPr>
          <w:i w:val="0"/>
          <w:iCs/>
        </w:rPr>
      </w:pPr>
      <w:bookmarkStart w:id="225" w:name="_Toc161945704"/>
      <w:r w:rsidRPr="00E5329F">
        <w:rPr>
          <w:i w:val="0"/>
          <w:iCs/>
        </w:rPr>
        <w:t>Cluster Selection</w:t>
      </w:r>
      <w:bookmarkEnd w:id="225"/>
    </w:p>
    <w:p w14:paraId="65E8C212" w14:textId="77777777" w:rsidR="00BC28CE" w:rsidRDefault="00000000">
      <w:r>
        <w:t>Attach the cluster assignment that is being used for the survey.</w:t>
      </w:r>
    </w:p>
    <w:tbl>
      <w:tblPr>
        <w:tblW w:w="5000" w:type="pct"/>
        <w:jc w:val="center"/>
        <w:tblLook w:val="0420" w:firstRow="1" w:lastRow="0" w:firstColumn="0" w:lastColumn="0" w:noHBand="0" w:noVBand="1"/>
      </w:tblPr>
      <w:tblGrid>
        <w:gridCol w:w="6013"/>
        <w:gridCol w:w="1988"/>
        <w:gridCol w:w="1339"/>
      </w:tblGrid>
      <w:tr w:rsidR="00BC28CE" w14:paraId="798683FD" w14:textId="77777777" w:rsidTr="00E5329F">
        <w:trPr>
          <w:tblHeade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2D6A242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Arial" w:eastAsia="DejaVu Sans" w:hAnsi="DejaVu Sans" w:cs="DejaVu Sans"/>
                <w:b/>
                <w:color w:val="FFFFFF"/>
                <w:sz w:val="20"/>
                <w:szCs w:val="20"/>
              </w:rPr>
              <w:t>Geographical Unit</w:t>
            </w:r>
          </w:p>
        </w:tc>
        <w:tc>
          <w:tcPr>
            <w:tcW w:w="1064"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BF8B59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Population Size</w:t>
            </w:r>
          </w:p>
        </w:tc>
        <w:tc>
          <w:tcPr>
            <w:tcW w:w="717"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F5A62A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Cluster</w:t>
            </w:r>
          </w:p>
        </w:tc>
      </w:tr>
      <w:tr w:rsidR="00BC28CE" w14:paraId="5DFC86E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8288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Isiolo_Wabera_Acacia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2B9BA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2,740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A38BE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w:t>
            </w:r>
          </w:p>
        </w:tc>
      </w:tr>
      <w:tr w:rsidR="00BC28CE" w14:paraId="2195D8A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D13B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Garbatulla_Sericho_Adele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EDB5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384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53028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w:t>
            </w:r>
          </w:p>
        </w:tc>
      </w:tr>
      <w:tr w:rsidR="00BC28CE" w14:paraId="3DD62D0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A55B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Isiolo_Burat_Akadeli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A300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577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57153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4E5857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8A79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Isiolo_Ngaremara_Akunoit</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5F40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210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2DD23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81DAD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3DA3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Isiolo_Burat_Anti-PoachingUnit</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AEE4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7CB03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523E3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9B468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Isiolo_Ngaremara_Aregae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2486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452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956ADB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EABA62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2A62F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Isiolo_Ngaremara_Ariamawoi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231E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190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5DC71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1281E5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1310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Isiolo_Ngaremara_Aroo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7EE7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7AE82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67F724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1FEB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Isiolo_Ngaremara_Atir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9D8B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EB1B3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4E20B5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25101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w:t>
            </w:r>
            <w:proofErr w:type="gramStart"/>
            <w:r>
              <w:rPr>
                <w:rFonts w:ascii="Arial" w:eastAsia="DejaVu Sans" w:hAnsi="DejaVu Sans" w:cs="DejaVu Sans"/>
                <w:color w:val="000000"/>
                <w:sz w:val="20"/>
                <w:szCs w:val="20"/>
              </w:rPr>
              <w:t>NgipisingeAkuinoit</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IDPs)</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8A29D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8BA26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FFC069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EDA75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Isiolo_Ngaremara_AttanChini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EA029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5718B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r>
      <w:tr w:rsidR="00BC28CE" w14:paraId="12FECD3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9685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Isiolo_Ngaremara_Attanjuu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39548D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448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117A41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0E89D2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1470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Merti_Charri_Awarsitu'A&amp;'B</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2ED7C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259</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19694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75942E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6E21B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Garbatulla_Sericho_Badana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57A6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538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8CF9D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DC7456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668B9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Merti_Cherab_Badanararo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9176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566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69E01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F2DD90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0BF235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Isiolo_Oldonyiro_Baibor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FBC8C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6B371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DD8907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EADF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Garbatulla_Kinna_Barambate</w:t>
            </w:r>
            <w:proofErr w:type="spellEnd"/>
            <w:r>
              <w:rPr>
                <w:rFonts w:ascii="Arial" w:eastAsia="DejaVu Sans" w:hAnsi="DejaVu Sans" w:cs="DejaVu Sans"/>
                <w:color w:val="000000"/>
                <w:sz w:val="20"/>
                <w:szCs w:val="20"/>
              </w:rPr>
              <w:t>/</w:t>
            </w:r>
            <w:proofErr w:type="spellStart"/>
            <w:r>
              <w:rPr>
                <w:rFonts w:ascii="Arial" w:eastAsia="DejaVu Sans" w:hAnsi="DejaVu Sans" w:cs="DejaVu Sans"/>
                <w:color w:val="000000"/>
                <w:sz w:val="20"/>
                <w:szCs w:val="20"/>
              </w:rPr>
              <w:t>BullaWara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9804C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FE5A3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689D05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82A98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Merti_Charri_BilikoMarara1'A'</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1A98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868C63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70B8B8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0ADD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Merti_Charri_BilikoMarara'B'1&amp;2</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DC37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3F3CC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801007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F500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221B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17C48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w:t>
            </w:r>
          </w:p>
        </w:tc>
      </w:tr>
      <w:tr w:rsidR="00BC28CE" w14:paraId="46CA04E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7CA17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4B20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24A49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7BCE23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2BBF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Merti_Cherab_BiliqiC</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4D56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FA55D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2E33D7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3E42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Garbatulla_Sericho_BiliqiNur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8FB3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570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AF061C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30AEF2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BA17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lastRenderedPageBreak/>
              <w:t>Merti_Charri_Bisiq1</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81D0F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159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D798B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62E473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585DE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Merti_Charri_Bisiq2</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BD34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240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9794A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5A1846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6F21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Garbatulla_Garbatulla_BojiNorth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74B7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586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9FF5B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F9657E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6256D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Garbatulla_Garbatulla_BojiSouth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AA38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246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4BD0C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6EE06D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B66C44" w14:textId="77777777" w:rsidR="00BC28CE" w:rsidRPr="00822E50" w:rsidRDefault="00000000">
            <w:pPr>
              <w:pBdr>
                <w:top w:val="none" w:sz="0" w:space="0" w:color="000000"/>
                <w:left w:val="none" w:sz="0" w:space="0" w:color="000000"/>
                <w:bottom w:val="none" w:sz="0" w:space="0" w:color="000000"/>
                <w:right w:val="none" w:sz="0" w:space="0" w:color="000000"/>
              </w:pBdr>
              <w:spacing w:before="80" w:after="80"/>
              <w:ind w:left="80" w:right="80"/>
              <w:rPr>
                <w:lang w:val="it-IT"/>
              </w:rPr>
            </w:pPr>
            <w:r w:rsidRPr="00822E50">
              <w:rPr>
                <w:rFonts w:ascii="Arial" w:eastAsia="DejaVu Sans" w:hAnsi="DejaVu Sans" w:cs="DejaVu Sans"/>
                <w:color w:val="000000"/>
                <w:sz w:val="20"/>
                <w:szCs w:val="20"/>
                <w:lang w:val="it-IT"/>
              </w:rPr>
              <w:t>Garbatulla_Kinna_BulaMnanda/Lesan(Barambate)</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644D8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220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CFE682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1AFAA2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48957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Merti_Charri_BulesaBox1</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3E210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544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9FA5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w:t>
            </w:r>
          </w:p>
        </w:tc>
      </w:tr>
      <w:tr w:rsidR="00BC28CE" w14:paraId="33E9807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20AD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Merti_Charri_BulesaBox2</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B2E50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480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0996C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043B70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F350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Isiolo_Bulapesa_Bullabao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7043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1,062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CB533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969FDC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D23A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Garbatulla_Kinna_BullaHatawi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1647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501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DCB402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4B50B1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3A7A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Garbatulla_Sericho_BullaJuu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8713F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BA2842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569891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0771D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BullaJuu</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Barambate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4C45CF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C2EAB2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5F1C8F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BDAD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Isiolo_Bulapesa_Bullakati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BB6EC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904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96A2D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w:t>
            </w:r>
          </w:p>
        </w:tc>
      </w:tr>
      <w:tr w:rsidR="00BC28CE" w14:paraId="609B6BF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B710FC" w14:textId="77777777" w:rsidR="00BC28CE" w:rsidRPr="00822E50" w:rsidRDefault="00000000">
            <w:pPr>
              <w:pBdr>
                <w:top w:val="none" w:sz="0" w:space="0" w:color="000000"/>
                <w:left w:val="none" w:sz="0" w:space="0" w:color="000000"/>
                <w:bottom w:val="none" w:sz="0" w:space="0" w:color="000000"/>
                <w:right w:val="none" w:sz="0" w:space="0" w:color="000000"/>
              </w:pBdr>
              <w:spacing w:before="80" w:after="80"/>
              <w:ind w:left="80" w:right="80"/>
              <w:rPr>
                <w:lang w:val="it-IT"/>
              </w:rPr>
            </w:pPr>
            <w:r w:rsidRPr="00822E50">
              <w:rPr>
                <w:rFonts w:ascii="Arial" w:eastAsia="DejaVu Sans" w:hAnsi="DejaVu Sans" w:cs="DejaVu Sans"/>
                <w:color w:val="000000"/>
                <w:sz w:val="20"/>
                <w:szCs w:val="20"/>
                <w:lang w:val="it-IT"/>
              </w:rPr>
              <w:t>Garbatulla_Kinna_BullaMadina(Rahima)Modogashe</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134C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7B98A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DEF240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5890E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Isiolo_Wabera_BullaNasie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072A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796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FFC32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C5E95C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A4637D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Garbatulla_Sericho_BullaNorth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D869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349AC2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C38DC9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A518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Garbatulla_Kinna_BullaNyoka</w:t>
            </w:r>
            <w:proofErr w:type="spellEnd"/>
            <w:r>
              <w:rPr>
                <w:rFonts w:ascii="Arial" w:eastAsia="DejaVu Sans" w:hAnsi="DejaVu Sans" w:cs="DejaVu Sans"/>
                <w:color w:val="000000"/>
                <w:sz w:val="20"/>
                <w:szCs w:val="20"/>
              </w:rPr>
              <w:t>/</w:t>
            </w:r>
            <w:proofErr w:type="spellStart"/>
            <w:r>
              <w:rPr>
                <w:rFonts w:ascii="Arial" w:eastAsia="DejaVu Sans" w:hAnsi="DejaVu Sans" w:cs="DejaVu Sans"/>
                <w:color w:val="000000"/>
                <w:sz w:val="20"/>
                <w:szCs w:val="20"/>
              </w:rPr>
              <w:t>Rapsu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A181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F056A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1E4806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72A4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w:t>
            </w:r>
            <w:proofErr w:type="gramStart"/>
            <w:r>
              <w:rPr>
                <w:rFonts w:ascii="Arial" w:eastAsia="DejaVu Sans" w:hAnsi="DejaVu Sans" w:cs="DejaVu Sans"/>
                <w:color w:val="000000"/>
                <w:sz w:val="20"/>
                <w:szCs w:val="20"/>
              </w:rPr>
              <w:t>BullaPunda</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Modogashe)</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285B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391B9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B413A8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1E64E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Isiolo_Bulapesa_BullaSafi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12C7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2,866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8870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w:t>
            </w:r>
          </w:p>
        </w:tc>
      </w:tr>
      <w:tr w:rsidR="00BC28CE" w14:paraId="1FD9247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6F70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BullaSafi</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Barambate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319F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0B3E15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F0781F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58E3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Isiolo_Wabera_BullaShariff</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51183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682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BF773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w:t>
            </w:r>
          </w:p>
        </w:tc>
      </w:tr>
      <w:tr w:rsidR="00BC28CE" w14:paraId="04FBD41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10B7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Garbatulla_Kinna_BullaTown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266C3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609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B63212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7786CF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0491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BullaTown</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Barambate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4A2F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064B0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D4FDA9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F9D0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Isiolo_Bulapesa_BullaWaso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C24B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872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E6838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0CADAA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8257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Isiolo_Bulapesa_BullaZamani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7612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1,268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B820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9</w:t>
            </w:r>
          </w:p>
        </w:tc>
      </w:tr>
      <w:tr w:rsidR="00BC28CE" w14:paraId="4779439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33F7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w:t>
            </w:r>
            <w:proofErr w:type="gramStart"/>
            <w:r>
              <w:rPr>
                <w:rFonts w:ascii="Arial" w:eastAsia="DejaVu Sans" w:hAnsi="DejaVu Sans" w:cs="DejaVu Sans"/>
                <w:color w:val="000000"/>
                <w:sz w:val="20"/>
                <w:szCs w:val="20"/>
              </w:rPr>
              <w:t>Central</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Modogashe)</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A76B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491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DFB6E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8E7682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22D91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TownA</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Bassa)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DEFFE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767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B048EC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7912E6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9368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Merti_Cherab_BiliqiWest</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1EAE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1A71E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6F83E6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ADB3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Merti_Cherab_BiliqiEast</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DC67B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224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886E3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E6247A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7F68E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Merti_Cherab_BiliqiSouth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E97F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139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C95F8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C49381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62F5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Merti_Cherab_BiliqiKonaNne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68A6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C539D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FC34F5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F980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Merti_Cherab_BiliqiHajiEddin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1BC01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49D409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427C84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C6E9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Merti_Cherab_BiliqiGuracha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FECF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63FE8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3890A1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539FED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CentralANorth</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Korbesa</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F3464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DC753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083EA3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54985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TownB</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Bassa)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649A0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476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76756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r>
      <w:tr w:rsidR="00BC28CE" w14:paraId="1ADB6BC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BCC6C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CentralBSouth</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Korbesa</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8236E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498E0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B5F30A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C290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Charabdicha</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Kinna)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91E207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881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D1315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5DFAA1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DA19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Isiolo_Wabera_Chechelesi'A</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1CFB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1,705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9E1C8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w:t>
            </w:r>
          </w:p>
        </w:tc>
      </w:tr>
      <w:tr w:rsidR="00BC28CE" w14:paraId="03FDD7A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8E337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Isiolo_Wabera_Chechelesi'B</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592B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213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EC942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EFAA23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C479A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Isiolo_Ngaremara_Chokaa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EDEA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635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40409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3F13E5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2D1A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Isiolo_Ngaremara_ChumviNdagale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D634A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221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5297EC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E78D67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8F20D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Isiolo_Ngaremara_ChumviYare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F871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188A2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A41F58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C8FE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Isiolo_Ngaremara_DaabaCentre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CA22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A7465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195690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7452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Isiolo_Ngaremara_DaabaJuu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9821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34B7A0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FDE82E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EA65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Garbatulla_Kinna_Darajani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A3E9E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655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6139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w:t>
            </w:r>
          </w:p>
        </w:tc>
      </w:tr>
      <w:tr w:rsidR="00BC28CE" w14:paraId="65B60CF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65191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Garbatulla_Garbatulla_DemoA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58AE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218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22D0E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AB36A6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1BEC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Garbatulla_Garbatulla_DemoB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45CD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218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D8153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4E388A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05AF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Garbatulla_Sericho_Didimtu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52904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A3684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F6E7D3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FEAF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Merti_Charri_Dimaadho1</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A6A2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288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C1087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49239F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C6B7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Merti_Charri_Dimaadho2</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E73FB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96F71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CF800E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C7C3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Merti_Cherab_Dololodakiye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996E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373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3F42F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1B42C9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14760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Isiolo_Burat_DonyoSarge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4387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346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BECC6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C29588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20486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KinnaNagele</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Tenne)</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8712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DDAC5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8F4B2D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936F5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Garbatulla_Kinna_Duse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8799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444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16562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13</w:t>
            </w:r>
          </w:p>
        </w:tc>
      </w:tr>
      <w:tr w:rsidR="00BC28CE" w14:paraId="7B23B5F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7CFE3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Isiolo_Ngaremara_Epiding</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31CC0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6D74B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1D6CC5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409DA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Isiolo_Burat_Eremet</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91D56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98CBF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40A71C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69926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Garbatulla_Sericho_Hagarsu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2326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1,150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7F707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D5E7CA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BCA6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Isiolo_Ngaremara_Gambela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5AE4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175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0379A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EC2283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CE087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Isiolo_Burat_Game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CB297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1,166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A6F66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w:t>
            </w:r>
          </w:p>
        </w:tc>
      </w:tr>
      <w:tr w:rsidR="00BC28CE" w14:paraId="54A8FED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8D1F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Garbatulla_Garbatulla_GarbatullaTown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F74A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598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FBB05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6E1479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44E3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Merti_Charri_Goda'A</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7D2F9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392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C6A62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0498BB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8342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Merti_Charri_Goda'B</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5AA0E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E8FD4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ACCB69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82068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Merti_Cherab_GodhRupa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407B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DFE12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2BF564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864F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Isiolo_Ngaremara_Gotu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DAB3A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F0F3A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62CFF9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5EE0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Garbatulla_Kinna_Gubadida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E9AD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A6DB0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F4111A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564D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Garbatulla_Sericho_GubatuKalkachaHiloble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EAD4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1,054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EE97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15</w:t>
            </w:r>
          </w:p>
        </w:tc>
      </w:tr>
      <w:tr w:rsidR="00BC28CE" w14:paraId="219D3CD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4EBF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Merti_Cherab_GuyoSekena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E240B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7E89B5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BF4208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32E55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Garbatulla_Kinna_JamiaMosque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394CB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673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5708A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583D16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917C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Garbatulla_Kinna_JilloDima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72FA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558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FFD46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91E4AA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05246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Merti_Cherab_KambiJuu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53326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734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C26E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w:t>
            </w:r>
          </w:p>
        </w:tc>
      </w:tr>
      <w:tr w:rsidR="00BC28CE" w14:paraId="11893B2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21EE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Isiolo_Burat_KampiGarba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D174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1,011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6A4FE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0C5576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8ADF0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Isiolo_Burat_KampiSheik</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DEE9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BA727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3464B9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DB607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Isiolo_Burat_KampiTurkana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B4B46A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541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E1ECC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99E24B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CFA9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Isiolo_Burat_Nomads</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A2359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392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8EFFBD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C154B0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2F3CC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Isiolo_Oldonyiro_KampiyaJuu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DF6A8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AAAF8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17</w:t>
            </w:r>
          </w:p>
        </w:tc>
      </w:tr>
      <w:tr w:rsidR="00BC28CE" w14:paraId="6B30563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EBC8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Isiolo_Bulapesa_KampiYaJuu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B87D1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4,368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48DB3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RC</w:t>
            </w:r>
          </w:p>
        </w:tc>
      </w:tr>
      <w:tr w:rsidR="00BC28CE" w14:paraId="48EA856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676C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Isiolo_Ngaremara_KampiZebra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BCDD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450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9212D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9C86F0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80D51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Isiolo_Wabera_Kariakor</w:t>
            </w:r>
            <w:proofErr w:type="spellEnd"/>
            <w:r>
              <w:rPr>
                <w:rFonts w:ascii="Arial" w:eastAsia="DejaVu Sans" w:hAnsi="DejaVu Sans" w:cs="DejaVu Sans"/>
                <w:color w:val="000000"/>
                <w:sz w:val="20"/>
                <w:szCs w:val="20"/>
              </w:rPr>
              <w:t>/Soweto</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008B3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897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9E88F2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0F5ED6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596C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Isiolo_Oldonyiro_Kawalash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A4C4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919</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0C32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w:t>
            </w:r>
          </w:p>
        </w:tc>
      </w:tr>
      <w:tr w:rsidR="00BC28CE" w14:paraId="5D096C8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5A2A3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Isiolo_Oldonyiro_Kililio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6C04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A0781C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21FBE0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965A3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Isiolo_Burat_KilimaniLMD</w:t>
            </w:r>
            <w:proofErr w:type="spellEnd"/>
            <w:r>
              <w:rPr>
                <w:rFonts w:ascii="Arial" w:eastAsia="DejaVu Sans" w:hAnsi="DejaVu Sans" w:cs="DejaVu Sans"/>
                <w:color w:val="000000"/>
                <w:sz w:val="20"/>
                <w:szCs w:val="20"/>
              </w:rPr>
              <w:t>/Kilimani</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0F55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1,403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5C972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DFB4E8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6C942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Garbatulla_Kinna_KinnaTown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21541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543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48F715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C47755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004E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Isiolo_Oldonyiro_KipsingTownCenter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D2A2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582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B6F7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19</w:t>
            </w:r>
          </w:p>
        </w:tc>
      </w:tr>
      <w:tr w:rsidR="00BC28CE" w14:paraId="29CF5B0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6E7D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Isiolo_Ngaremara_Kisile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DA15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7B5DE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FC65A1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E35C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Isiolo_Ngaremara_Kisima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72C9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A23B3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E1708B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7AE5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Isiolo_Ngaremara_Kiwanja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B681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83C48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319995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4B746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Isiolo_Wabera_KiwanjaNdege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6178D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1,550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AC0A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RC</w:t>
            </w:r>
          </w:p>
        </w:tc>
      </w:tr>
      <w:tr w:rsidR="00BC28CE" w14:paraId="4E22C79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81CAE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Garbatulla_Garbatulla_Kiwanjani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5842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7ECAFD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BCB52F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74EAD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w:t>
            </w:r>
            <w:proofErr w:type="gramStart"/>
            <w:r>
              <w:rPr>
                <w:rFonts w:ascii="Arial" w:eastAsia="DejaVu Sans" w:hAnsi="DejaVu Sans" w:cs="DejaVu Sans"/>
                <w:color w:val="000000"/>
                <w:sz w:val="20"/>
                <w:szCs w:val="20"/>
              </w:rPr>
              <w:t>Kiwanjani</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Isiolo)</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72B23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1,007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2CABE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5D9142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39F73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Garbatulla_Garbatulla_KombolaNorth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CCCE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0D35E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751E56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3E678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Garbatulla_Garbatulla_KombolaSouth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A115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DBF19E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253EE7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DA4729" w14:textId="77777777" w:rsidR="00BC28CE" w:rsidRPr="00822E50" w:rsidRDefault="00000000">
            <w:pPr>
              <w:pBdr>
                <w:top w:val="none" w:sz="0" w:space="0" w:color="000000"/>
                <w:left w:val="none" w:sz="0" w:space="0" w:color="000000"/>
                <w:bottom w:val="none" w:sz="0" w:space="0" w:color="000000"/>
                <w:right w:val="none" w:sz="0" w:space="0" w:color="000000"/>
              </w:pBdr>
              <w:spacing w:before="80" w:after="80"/>
              <w:ind w:left="80" w:right="80"/>
              <w:rPr>
                <w:lang w:val="it-IT"/>
              </w:rPr>
            </w:pPr>
            <w:r w:rsidRPr="00822E50">
              <w:rPr>
                <w:rFonts w:ascii="Arial" w:eastAsia="DejaVu Sans" w:hAnsi="DejaVu Sans" w:cs="DejaVu Sans"/>
                <w:color w:val="000000"/>
                <w:sz w:val="20"/>
                <w:szCs w:val="20"/>
                <w:lang w:val="it-IT"/>
              </w:rPr>
              <w:t>Garbatulla_Kinna_KoneKalo/BullaMpya/Rapsu</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E89F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299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4C0B2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4E8A56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F13B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Garbatulla_Garbatulla_Koropu</w:t>
            </w:r>
            <w:proofErr w:type="spellEnd"/>
            <w:r>
              <w:rPr>
                <w:rFonts w:ascii="Arial" w:eastAsia="DejaVu Sans" w:hAnsi="DejaVu Sans" w:cs="DejaVu Sans"/>
                <w:color w:val="000000"/>
                <w:sz w:val="20"/>
                <w:szCs w:val="20"/>
              </w:rPr>
              <w:t>/</w:t>
            </w:r>
            <w:proofErr w:type="spellStart"/>
            <w:r>
              <w:rPr>
                <w:rFonts w:ascii="Arial" w:eastAsia="DejaVu Sans" w:hAnsi="DejaVu Sans" w:cs="DejaVu Sans"/>
                <w:color w:val="000000"/>
                <w:sz w:val="20"/>
                <w:szCs w:val="20"/>
              </w:rPr>
              <w:t>TownCenterA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7635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376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E6F2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w:t>
            </w:r>
          </w:p>
        </w:tc>
      </w:tr>
      <w:tr w:rsidR="00BC28CE" w14:paraId="244F7B8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1ED2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Garbatulla_Garbatulla_Koropu</w:t>
            </w:r>
            <w:proofErr w:type="spellEnd"/>
            <w:r>
              <w:rPr>
                <w:rFonts w:ascii="Arial" w:eastAsia="DejaVu Sans" w:hAnsi="DejaVu Sans" w:cs="DejaVu Sans"/>
                <w:color w:val="000000"/>
                <w:sz w:val="20"/>
                <w:szCs w:val="20"/>
              </w:rPr>
              <w:t>/</w:t>
            </w:r>
            <w:proofErr w:type="spellStart"/>
            <w:r>
              <w:rPr>
                <w:rFonts w:ascii="Arial" w:eastAsia="DejaVu Sans" w:hAnsi="DejaVu Sans" w:cs="DejaVu Sans"/>
                <w:color w:val="000000"/>
                <w:sz w:val="20"/>
                <w:szCs w:val="20"/>
              </w:rPr>
              <w:t>TownCenterB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87607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532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8CC43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D00ED5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42707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Garbatulla_Kinna_KotichaA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E236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629</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59D30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DB62D8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9DCE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Garbatulla_Kinna_KotichaB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0862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556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B25D6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943FEE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FD90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Garbatulla_Kinna_KotichaC</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A02C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645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E730B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7FCAE5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09676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w:t>
            </w:r>
            <w:proofErr w:type="gramStart"/>
            <w:r>
              <w:rPr>
                <w:rFonts w:ascii="Arial" w:eastAsia="DejaVu Sans" w:hAnsi="DejaVu Sans" w:cs="DejaVu Sans"/>
                <w:color w:val="000000"/>
                <w:sz w:val="20"/>
                <w:szCs w:val="20"/>
              </w:rPr>
              <w:t>Kulamawe</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Isiolo)</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3BA8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7,383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6CBEA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23, 22, 21</w:t>
            </w:r>
          </w:p>
        </w:tc>
      </w:tr>
      <w:tr w:rsidR="00BC28CE" w14:paraId="54432CE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B92B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Merti_Charri_BulesaFirimbi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1D7FC2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228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F0DC6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E1949C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1EBE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Isiolo_Ngaremara_KWSComplex</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68EC9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D28A8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81FDFF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2FAD2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Isiolo_Oldonyiro_Labarisherik</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13BA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1,086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F690D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662ADE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E039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Merti_Cherab_Lafe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9F9D9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2C2A6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1EE458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B6F2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Isiolo_Oldonyiro_LagaramaB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88BC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BB0C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24</w:t>
            </w:r>
          </w:p>
        </w:tc>
      </w:tr>
      <w:tr w:rsidR="00BC28CE" w14:paraId="6DE944E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ED99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Merti_Cherab_Lakole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1F93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210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66417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2BC7A7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05E6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Garbatulla_Sericho_Sapansa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64EF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1,268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540670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3F55F6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B3E1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w:t>
            </w:r>
            <w:proofErr w:type="gramStart"/>
            <w:r>
              <w:rPr>
                <w:rFonts w:ascii="Arial" w:eastAsia="DejaVu Sans" w:hAnsi="DejaVu Sans" w:cs="DejaVu Sans"/>
                <w:color w:val="000000"/>
                <w:sz w:val="20"/>
                <w:szCs w:val="20"/>
              </w:rPr>
              <w:t>Langaaman</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Tuale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6D27E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331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447DCF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8A602A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75AB5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Isiolo_Burat_Lankailer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DE0DF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420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FD90B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2BF853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C11E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Isiolo_Burat_Lauri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BA3B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490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7C406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23F7DA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6641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Isiolo_Oldonyiro_Lekiji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5F0B5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738E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w:t>
            </w:r>
          </w:p>
        </w:tc>
      </w:tr>
      <w:tr w:rsidR="00BC28CE" w14:paraId="46A94E0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C4622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Isiolo_Oldonyiro_Lemorijo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F687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419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CB353F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C203D8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2227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Isiolo_Oldonyiro_Lenguruma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1644A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235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85692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1C8158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E494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Isiolo_Oldonyiro_Lengwenyi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123DD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5DAB11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F8BB35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EF68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Isiolo_Burat_Leparua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77FD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772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3AEC6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44AA15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D6CB40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Isiolo_Oldonyiro_Longaman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424D3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098784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7B794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1C82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Isiolo_Oldonyiro_Longopito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BD2C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668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26AFD1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A15E58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E8553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Isiolo_Oldonyiro_Loruko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18EC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3011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RC</w:t>
            </w:r>
          </w:p>
        </w:tc>
      </w:tr>
      <w:tr w:rsidR="00BC28CE" w14:paraId="7E338B5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12A13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Isiolo_Burat_Loruko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BE9D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99B19A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FC55BD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75252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Isiolo_Oldonyiro_Losira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1F2A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5BF87B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97D831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161B0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Isiolo_Burat_Lotiki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AEDE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194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E9E49A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58DD5E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1B20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Isiolo_Oldonyiro_Loturo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ECCCC2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C1740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75424E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5344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Isiolo_Ngaremara_Lowangila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E657C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514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73E63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028FEF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185F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Isiolo_Oldonyiro_Lowuai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C194F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04E09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774A30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FC9F1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Isiolo_Oldonyiro_</w:t>
            </w:r>
            <w:proofErr w:type="gramStart"/>
            <w:r>
              <w:rPr>
                <w:rFonts w:ascii="Arial" w:eastAsia="DejaVu Sans" w:hAnsi="DejaVu Sans" w:cs="DejaVu Sans"/>
                <w:color w:val="000000"/>
                <w:sz w:val="20"/>
                <w:szCs w:val="20"/>
              </w:rPr>
              <w:t>L'pusi(</w:t>
            </w:r>
            <w:proofErr w:type="gramEnd"/>
            <w:r>
              <w:rPr>
                <w:rFonts w:ascii="Arial" w:eastAsia="DejaVu Sans" w:hAnsi="DejaVu Sans" w:cs="DejaVu Sans"/>
                <w:color w:val="000000"/>
                <w:sz w:val="20"/>
                <w:szCs w:val="20"/>
              </w:rPr>
              <w:t>Kipsing)</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4BF6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44AB8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FA96F7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9FD0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w:t>
            </w:r>
            <w:proofErr w:type="gramStart"/>
            <w:r>
              <w:rPr>
                <w:rFonts w:ascii="Arial" w:eastAsia="DejaVu Sans" w:hAnsi="DejaVu Sans" w:cs="DejaVu Sans"/>
                <w:color w:val="000000"/>
                <w:sz w:val="20"/>
                <w:szCs w:val="20"/>
              </w:rPr>
              <w:t>Lpuus</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Tuale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1894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284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0C371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C70E96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24FF3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Isiolo_Oldonyiro_Ltingai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5EDD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1,000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525A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w:t>
            </w:r>
          </w:p>
        </w:tc>
      </w:tr>
      <w:tr w:rsidR="00BC28CE" w14:paraId="14231D9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B6998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Isiolo_Ngaremara_L'Tungai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2C1DE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84865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B371EF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231E2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w:t>
            </w:r>
            <w:proofErr w:type="gramStart"/>
            <w:r>
              <w:rPr>
                <w:rFonts w:ascii="Arial" w:eastAsia="DejaVu Sans" w:hAnsi="DejaVu Sans" w:cs="DejaVu Sans"/>
                <w:color w:val="000000"/>
                <w:sz w:val="20"/>
                <w:szCs w:val="20"/>
              </w:rPr>
              <w:t>M.Central</w:t>
            </w:r>
            <w:proofErr w:type="spellEnd"/>
            <w:proofErr w:type="gram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C168E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294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E2FE0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187899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CAACE5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w:t>
            </w:r>
            <w:proofErr w:type="gramStart"/>
            <w:r>
              <w:rPr>
                <w:rFonts w:ascii="Arial" w:eastAsia="DejaVu Sans" w:hAnsi="DejaVu Sans" w:cs="DejaVu Sans"/>
                <w:color w:val="000000"/>
                <w:sz w:val="20"/>
                <w:szCs w:val="20"/>
              </w:rPr>
              <w:t>M.Dathey</w:t>
            </w:r>
            <w:proofErr w:type="spellEnd"/>
            <w:proofErr w:type="gram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FBA512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493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C7D01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02509C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B5D0A7" w14:textId="77777777" w:rsidR="00BC28CE" w:rsidRPr="00822E50" w:rsidRDefault="00000000">
            <w:pPr>
              <w:pBdr>
                <w:top w:val="none" w:sz="0" w:space="0" w:color="000000"/>
                <w:left w:val="none" w:sz="0" w:space="0" w:color="000000"/>
                <w:bottom w:val="none" w:sz="0" w:space="0" w:color="000000"/>
                <w:right w:val="none" w:sz="0" w:space="0" w:color="000000"/>
              </w:pBdr>
              <w:spacing w:before="80" w:after="80"/>
              <w:ind w:left="80" w:right="80"/>
              <w:rPr>
                <w:lang w:val="it-IT"/>
              </w:rPr>
            </w:pPr>
            <w:r w:rsidRPr="00822E50">
              <w:rPr>
                <w:rFonts w:ascii="Arial" w:eastAsia="DejaVu Sans" w:hAnsi="DejaVu Sans" w:cs="DejaVu Sans"/>
                <w:color w:val="000000"/>
                <w:sz w:val="20"/>
                <w:szCs w:val="20"/>
                <w:lang w:val="it-IT"/>
              </w:rPr>
              <w:t>Garbatulla_Garbatulla_M.Dollo/Bubisa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12610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566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20032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0EA41A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F56D71" w14:textId="77777777" w:rsidR="00BC28CE" w:rsidRPr="00822E50" w:rsidRDefault="00000000">
            <w:pPr>
              <w:pBdr>
                <w:top w:val="none" w:sz="0" w:space="0" w:color="000000"/>
                <w:left w:val="none" w:sz="0" w:space="0" w:color="000000"/>
                <w:bottom w:val="none" w:sz="0" w:space="0" w:color="000000"/>
                <w:right w:val="none" w:sz="0" w:space="0" w:color="000000"/>
              </w:pBdr>
              <w:spacing w:before="80" w:after="80"/>
              <w:ind w:left="80" w:right="80"/>
              <w:rPr>
                <w:lang w:val="it-IT"/>
              </w:rPr>
            </w:pPr>
            <w:r w:rsidRPr="00822E50">
              <w:rPr>
                <w:rFonts w:ascii="Arial" w:eastAsia="DejaVu Sans" w:hAnsi="DejaVu Sans" w:cs="DejaVu Sans"/>
                <w:color w:val="000000"/>
                <w:sz w:val="20"/>
                <w:szCs w:val="20"/>
                <w:lang w:val="it-IT"/>
              </w:rPr>
              <w:t>Garbatulla_Garbatulla_M.Gabra(Gafarsa)</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D74407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344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DA332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90712A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E58A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w:t>
            </w:r>
            <w:proofErr w:type="gramStart"/>
            <w:r>
              <w:rPr>
                <w:rFonts w:ascii="Arial" w:eastAsia="DejaVu Sans" w:hAnsi="DejaVu Sans" w:cs="DejaVu Sans"/>
                <w:color w:val="000000"/>
                <w:sz w:val="20"/>
                <w:szCs w:val="20"/>
              </w:rPr>
              <w:t>M.Golicha</w:t>
            </w:r>
            <w:proofErr w:type="spellEnd"/>
            <w:proofErr w:type="gram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03BF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451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CD74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RC</w:t>
            </w:r>
          </w:p>
        </w:tc>
      </w:tr>
      <w:tr w:rsidR="00BC28CE" w14:paraId="0D87DC8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624D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w:t>
            </w:r>
            <w:proofErr w:type="gramStart"/>
            <w:r>
              <w:rPr>
                <w:rFonts w:ascii="Arial" w:eastAsia="DejaVu Sans" w:hAnsi="DejaVu Sans" w:cs="DejaVu Sans"/>
                <w:color w:val="000000"/>
                <w:sz w:val="20"/>
                <w:szCs w:val="20"/>
              </w:rPr>
              <w:t>M.Koddo</w:t>
            </w:r>
            <w:proofErr w:type="spellEnd"/>
            <w:proofErr w:type="gram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9433AD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335AF0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1D5066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2524F4" w14:textId="77777777" w:rsidR="00BC28CE" w:rsidRPr="00822E50" w:rsidRDefault="00000000">
            <w:pPr>
              <w:pBdr>
                <w:top w:val="none" w:sz="0" w:space="0" w:color="000000"/>
                <w:left w:val="none" w:sz="0" w:space="0" w:color="000000"/>
                <w:bottom w:val="none" w:sz="0" w:space="0" w:color="000000"/>
                <w:right w:val="none" w:sz="0" w:space="0" w:color="000000"/>
              </w:pBdr>
              <w:spacing w:before="80" w:after="80"/>
              <w:ind w:left="80" w:right="80"/>
              <w:rPr>
                <w:lang w:val="it-IT"/>
              </w:rPr>
            </w:pPr>
            <w:r w:rsidRPr="00822E50">
              <w:rPr>
                <w:rFonts w:ascii="Arial" w:eastAsia="DejaVu Sans" w:hAnsi="DejaVu Sans" w:cs="DejaVu Sans"/>
                <w:color w:val="000000"/>
                <w:sz w:val="20"/>
                <w:szCs w:val="20"/>
                <w:lang w:val="it-IT"/>
              </w:rPr>
              <w:t>Garbatulla_Garbatulla_M.Kunato/BulaMpya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0777A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510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586721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71F6E1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6349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w:t>
            </w:r>
            <w:proofErr w:type="gramStart"/>
            <w:r>
              <w:rPr>
                <w:rFonts w:ascii="Arial" w:eastAsia="DejaVu Sans" w:hAnsi="DejaVu Sans" w:cs="DejaVu Sans"/>
                <w:color w:val="000000"/>
                <w:sz w:val="20"/>
                <w:szCs w:val="20"/>
              </w:rPr>
              <w:t>M.Malle</w:t>
            </w:r>
            <w:proofErr w:type="spellEnd"/>
            <w:proofErr w:type="gram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097F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71784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AA108E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BCF5A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w:t>
            </w:r>
            <w:proofErr w:type="gramStart"/>
            <w:r>
              <w:rPr>
                <w:rFonts w:ascii="Arial" w:eastAsia="DejaVu Sans" w:hAnsi="DejaVu Sans" w:cs="DejaVu Sans"/>
                <w:color w:val="000000"/>
                <w:sz w:val="20"/>
                <w:szCs w:val="20"/>
              </w:rPr>
              <w:t>M.Racha</w:t>
            </w:r>
            <w:proofErr w:type="spellEnd"/>
            <w:proofErr w:type="gram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D73F8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8ADB26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363EB5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DE91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Isiolo_Bulapesa_Mabatini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746B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5491A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3FE995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491D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Isiolo_Burat_MacharKwota</w:t>
            </w:r>
            <w:proofErr w:type="spellEnd"/>
            <w:r>
              <w:rPr>
                <w:rFonts w:ascii="Arial" w:eastAsia="DejaVu Sans" w:hAnsi="DejaVu Sans" w:cs="DejaVu Sans"/>
                <w:color w:val="000000"/>
                <w:sz w:val="20"/>
                <w:szCs w:val="20"/>
              </w:rPr>
              <w:t>/</w:t>
            </w:r>
            <w:proofErr w:type="spellStart"/>
            <w:r>
              <w:rPr>
                <w:rFonts w:ascii="Arial" w:eastAsia="DejaVu Sans" w:hAnsi="DejaVu Sans" w:cs="DejaVu Sans"/>
                <w:color w:val="000000"/>
                <w:sz w:val="20"/>
                <w:szCs w:val="20"/>
              </w:rPr>
              <w:t>Alamach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07868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C198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27</w:t>
            </w:r>
          </w:p>
        </w:tc>
      </w:tr>
      <w:tr w:rsidR="00BC28CE" w14:paraId="169BD08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4CDC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Madina</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Kinna)</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C02B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512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B59298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AB4463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9C92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Isiolo_Ngaremara_Maendeleo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BA3AA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C0421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18F6F2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F5BD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Isiolo_Burat_MailiSaba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8094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806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5C56A6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896DD1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A8B3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Isiolo_Burat_Maili</w:t>
            </w:r>
            <w:proofErr w:type="spellEnd"/>
            <w:r>
              <w:rPr>
                <w:rFonts w:ascii="Arial" w:eastAsia="DejaVu Sans" w:hAnsi="DejaVu Sans" w:cs="DejaVu Sans"/>
                <w:color w:val="000000"/>
                <w:sz w:val="20"/>
                <w:szCs w:val="20"/>
              </w:rPr>
              <w:t>-Tano</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FE82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1,242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D0BA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RC</w:t>
            </w:r>
          </w:p>
        </w:tc>
      </w:tr>
      <w:tr w:rsidR="00BC28CE" w14:paraId="278EE24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AC70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Isiolo_Burat_MaishaBora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866D0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368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B4956A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297CC0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8C40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Garbatulla_Sericho_Makarim</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A54F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375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ADE05F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103AA3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7A95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Merti_Cherab_MalkagallaTownC</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D4F6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503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E02EB2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2BBC11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4A57C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Merti_Cherab_MalkagallaTownA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B2DF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478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334A7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5C5940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EA98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Merti_Cherab_MalkagallaTownB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DE7D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635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B826E1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23BA22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CDF67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Boji</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Bassa)</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75061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77E93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8B020A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C96A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Merti_Cherab_ManyataSakuye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DF7FB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67F85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61C276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E0FC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Merti_Charri_ManyattaAfya1(Biliqo)</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D31B1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280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6751E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28</w:t>
            </w:r>
          </w:p>
        </w:tc>
      </w:tr>
      <w:tr w:rsidR="00BC28CE" w14:paraId="05A21BD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11FF6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Merti_Charri_ManyattaAfya2(Biliqo)</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35F3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BED29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2148C9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12BC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Merti_Cherab_ManyattaDawa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C635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396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2F452A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AC6F91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6168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Merti_Cherab_ManyattaDuba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8FB57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682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4853E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848E43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4EC8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Merti_Cherab_ManyattaFugicha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5EE0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1,258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E8351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8AC592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688C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Merti_Cherab_ManyattaFunan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8E193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577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EB94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29</w:t>
            </w:r>
          </w:p>
        </w:tc>
      </w:tr>
      <w:tr w:rsidR="00BC28CE" w14:paraId="4E51149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E5DE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Merti_Cherab_ManyattaGanna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8476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1,153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B8A9A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C9FFFF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8F52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w:t>
            </w:r>
            <w:proofErr w:type="gramStart"/>
            <w:r>
              <w:rPr>
                <w:rFonts w:ascii="Arial" w:eastAsia="DejaVu Sans" w:hAnsi="DejaVu Sans" w:cs="DejaVu Sans"/>
                <w:color w:val="000000"/>
                <w:sz w:val="20"/>
                <w:szCs w:val="20"/>
              </w:rPr>
              <w:t>ManyattaMosque</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Biliqo)</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056FF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8E92B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836AC5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2AFC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Manyatta</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TownCentre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91EB7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63F83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0915E9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7EC6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Isiolo_Bulapesa_Marille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8278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1,857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6555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w:t>
            </w:r>
          </w:p>
        </w:tc>
      </w:tr>
      <w:tr w:rsidR="00BC28CE" w14:paraId="34A5986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E7A84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Merti_Cherab_MataArbaA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930175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FD4DF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A7541E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D4C24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Merti_Cherab_MataArbaB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2EA2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419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18CCC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E68772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6D9F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Garbatulla_Garbatulla_MatagariA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9AF1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380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3ECDC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87DB68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8AFC7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Garbatulla_Garbatulla_MatagariB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A7E58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373</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140E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w:t>
            </w:r>
          </w:p>
        </w:tc>
      </w:tr>
      <w:tr w:rsidR="00BC28CE" w14:paraId="2A1BBB2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CFDA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Isiolo_Oldonyiro_Matundai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02B2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706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78171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496608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E7BE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Garbatulla_Garbatulla_MilimaniDaawa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98528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6D6A5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4C0244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0206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Garbatulla_Garbatulla_MilimaniDarga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C874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3D1E4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83DC5A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3C63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Merti_Cherab_MlandaNoor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9AFD5F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367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B0371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4C2F78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D41A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Isiolo_Oldonyiro_MlimaChui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0730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534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D000F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C3DB26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69EB5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Isiolo_Oldonyiro_MlimaTatu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94D1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258A7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078905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5F2C61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Isiolo_Oldonyiro_Mokori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DA6D0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536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A51DE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w:t>
            </w:r>
          </w:p>
        </w:tc>
      </w:tr>
      <w:tr w:rsidR="00BC28CE" w14:paraId="288A5DC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C4726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Merti_Charri_BulesaMosque1&amp;2</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91CB1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540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28492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EF7229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3CF0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Garbatulla_Garbatulla_MuchuroNorth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DC16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234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54A2D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B5C4C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9F7B0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Garbatulla_Garbatulla_MuchuroSouth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2B07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3D2167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51C5CD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4ADA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Garbatulla_Sericho_Mulanda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AAD3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8E31E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A97B80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C2308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Isiolo_Wabera_MwangazaA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068F9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BF7FD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1CA7A2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97C31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Isiolo_Wabera_MwangazaC</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77412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210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0B125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91857E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BD040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Isiolo_Wabera_Mwangaza</w:t>
            </w:r>
            <w:proofErr w:type="spellEnd"/>
            <w:r>
              <w:rPr>
                <w:rFonts w:ascii="Arial" w:eastAsia="DejaVu Sans" w:hAnsi="DejaVu Sans" w:cs="DejaVu Sans"/>
                <w:color w:val="000000"/>
                <w:sz w:val="20"/>
                <w:szCs w:val="20"/>
              </w:rPr>
              <w:t>/</w:t>
            </w:r>
            <w:proofErr w:type="spellStart"/>
            <w:r>
              <w:rPr>
                <w:rFonts w:ascii="Arial" w:eastAsia="DejaVu Sans" w:hAnsi="DejaVu Sans" w:cs="DejaVu Sans"/>
                <w:color w:val="000000"/>
                <w:sz w:val="20"/>
                <w:szCs w:val="20"/>
              </w:rPr>
              <w:t>Kiwanjani'B</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4F92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B0437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ADD2FA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5F25E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Isiolo_Oldonyiro_Naingura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2A514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547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7C12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33</w:t>
            </w:r>
          </w:p>
        </w:tc>
      </w:tr>
      <w:tr w:rsidR="00BC28CE" w14:paraId="48FC23E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79098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Isiolo_Ngaremara_Nakupurat</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6E87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272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35BEF6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2DBBE3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FA147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Isiolo_Oldonyiro_Namelok</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EFA7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616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FB4D9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5B2199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1D3EA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Isiolo_Oldonyiro_Nantundu</w:t>
            </w:r>
            <w:proofErr w:type="spellEnd"/>
            <w:r>
              <w:rPr>
                <w:rFonts w:ascii="Arial" w:eastAsia="DejaVu Sans" w:hAnsi="DejaVu Sans" w:cs="DejaVu Sans"/>
                <w:color w:val="000000"/>
                <w:sz w:val="20"/>
                <w:szCs w:val="20"/>
              </w:rPr>
              <w:t>/Greenhouse</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3F8DA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1,272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DC2CD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5FD013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8C80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Isiolo_Oldonyiro_Narasha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52FAB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327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CCA5A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42DCC4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6238D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Isiolo_Burat_Nasuulu</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017C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230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D2088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34</w:t>
            </w:r>
          </w:p>
        </w:tc>
      </w:tr>
      <w:tr w:rsidR="00BC28CE" w14:paraId="603821E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C01F6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Isiolo_Oldonyiro_NdonyoElengela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5527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D2775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36F367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7AC0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Isiolo_Burat_Ngaramata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4A8A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AB8826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B6FB45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88F13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w:t>
            </w:r>
            <w:proofErr w:type="gramStart"/>
            <w:r>
              <w:rPr>
                <w:rFonts w:ascii="Arial" w:eastAsia="DejaVu Sans" w:hAnsi="DejaVu Sans" w:cs="DejaVu Sans"/>
                <w:color w:val="000000"/>
                <w:sz w:val="20"/>
                <w:szCs w:val="20"/>
              </w:rPr>
              <w:t>NgareNtare</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Ntalabany</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C9A5B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319</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BF3C0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1E9EA2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670E0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Isiolo_Burat_NgareNtareA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911B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D3F1A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0A43DF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5C8E8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Isiolo_Oldonyiro_NgareNtare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90679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E3BBB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AEFBF9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7EAA7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Isiolo_Burat_Ngaresirkon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238B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568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9F28D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C915A5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95CF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Isiolo_Ngaremara_NgaremaraCenter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501F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614</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D117F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FDA47B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44708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Isiolo_Ngaremara_Ngaremara'B</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9E0D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1,005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D8985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35</w:t>
            </w:r>
          </w:p>
        </w:tc>
      </w:tr>
      <w:tr w:rsidR="00BC28CE" w14:paraId="57A4B8E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3FE19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Isiolo_Oldonyiro_Ngorika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2D39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16040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6FB8E8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56A9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Isiolo_Oldonyiro_Noloroi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8C37B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636A8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55ADDB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9762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Isiolo_Oldonyiro_Ntepes</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9A4EE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563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702C2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AD7127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9F9620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Garbatulla_Kinna_Odha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3222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661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6DC2C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15E884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EBE0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Isiolo_Burat_Odha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0232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1,255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260A9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36</w:t>
            </w:r>
          </w:p>
        </w:tc>
      </w:tr>
      <w:tr w:rsidR="00BC28CE" w14:paraId="173E9E2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9E89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Isiolo_Oldonyiro_OldonyiroTown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09C8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6643A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C757D5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4656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Isiolo_Burat_OllaBulle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79CA2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1,612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4D16E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659243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56DE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Isiolo_Burat_OllaAdhe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9667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522</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0F41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37</w:t>
            </w:r>
          </w:p>
        </w:tc>
      </w:tr>
      <w:tr w:rsidR="00BC28CE" w14:paraId="31B4703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CEE2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Isiolo_Bulapesa_OllaJarole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D2C79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1,253</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3F0BC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ECE981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40F4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Merti_Charri_Orotin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02C0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AE826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AB0920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AE8E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Isiolo_Wabera_OsmanDima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1A8B7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9BF91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76ECF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DEA4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Isiolo_Oldonyiro_Parkuruk</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5600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644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4BC2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38</w:t>
            </w:r>
          </w:p>
        </w:tc>
      </w:tr>
      <w:tr w:rsidR="00BC28CE" w14:paraId="5AE18B5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6D7B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Garbatulla_Garbatulla_Prison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39DAC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225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38B87B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D2203E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AC1E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Isiolo_Oldonyiro_Puruta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B0D1D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232A7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99205A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FCB6D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Garbatulla_Sericho_Qalqalcha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FF55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627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70E87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1A1A37D"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EF9F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Garbatulla_Kinna_Qurquchi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0D6184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736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6EB1A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5FD1E2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109D4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Isiolo_Oldonyiro_Raap</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1B575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457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0F299A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F339B9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7A24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Garbatulla_Garbatulla_ManyattaRefugee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DE7D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47ECAB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EAD92C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E479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Merti_Cherab_BadanaK</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13ED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202</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9852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39</w:t>
            </w:r>
          </w:p>
        </w:tc>
      </w:tr>
      <w:tr w:rsidR="00BC28CE" w14:paraId="10C4794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E4FC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Merti_Cherab_ShauriYakoA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2BFCE3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564C9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695E9C3"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C6D2C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Merti_Cherab_ShauriYakoB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33FBC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29831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49C453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035955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Merti_Cherab_ShauriYakoC</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AFDB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130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75C89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39C694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17D6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Merti_Cherab_ShauriYakoD</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917F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151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E1E1B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75853F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7F3C5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Merti_Cherab_Rigga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3B43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318</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883B5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6904E7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29AE8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Isiolo_Oldonyiro_Rumate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BCDBD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489</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EF8B6F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B87353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91E12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lastRenderedPageBreak/>
              <w:t>Merti_Cherab_Sakuye1</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1C237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1,049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D61F9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19E450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D10F9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Merti_Cherab_Sakuye2</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3566F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839</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BC874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40</w:t>
            </w:r>
          </w:p>
        </w:tc>
      </w:tr>
      <w:tr w:rsidR="00BC28CE" w14:paraId="5644321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FCBB5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Saleti</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OllaGabra</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F254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194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A7DFD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07B4D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43AD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Merti_Cherab_SaletiA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5EF4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201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E0180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06B41E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B086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Merti_Cherab_SaletiB</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2C53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197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58D14F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760B8C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CBBE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Garbatulla_Sericho_SerichoCentral</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475D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425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E57FB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E8F473B"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9DF1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Garbatulla_Sericho_SerichoNorth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3C21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611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E6A68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1DCF1E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9AC99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Garbatulla_Sericho_SerichoSouth</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8968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620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B83FF1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9F2FD1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43A57F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Isiolo_Burat_Shambani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4D2E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1,140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0AC9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41</w:t>
            </w:r>
          </w:p>
        </w:tc>
      </w:tr>
      <w:tr w:rsidR="00BC28CE" w14:paraId="4E71D684"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E45EE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Garbatulla_Kinna_Shambole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91AA8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CAA03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22E451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3F73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Merti_Cherab_Shambole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2D7F2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944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74F02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CDD1E5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1C4D8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w:t>
            </w:r>
            <w:proofErr w:type="gramStart"/>
            <w:r>
              <w:rPr>
                <w:rFonts w:ascii="Arial" w:eastAsia="DejaVu Sans" w:hAnsi="DejaVu Sans" w:cs="DejaVu Sans"/>
                <w:color w:val="000000"/>
                <w:sz w:val="20"/>
                <w:szCs w:val="20"/>
              </w:rPr>
              <w:t>ShauriYako</w:t>
            </w:r>
            <w:proofErr w:type="spellEnd"/>
            <w:r>
              <w:rPr>
                <w:rFonts w:ascii="Arial" w:eastAsia="DejaVu Sans" w:hAnsi="DejaVu Sans" w:cs="DejaVu Sans"/>
                <w:color w:val="000000"/>
                <w:sz w:val="20"/>
                <w:szCs w:val="20"/>
              </w:rPr>
              <w:t>(</w:t>
            </w:r>
            <w:proofErr w:type="spellStart"/>
            <w:proofErr w:type="gramEnd"/>
            <w:r>
              <w:rPr>
                <w:rFonts w:ascii="Arial" w:eastAsia="DejaVu Sans" w:hAnsi="DejaVu Sans" w:cs="DejaVu Sans"/>
                <w:color w:val="000000"/>
                <w:sz w:val="20"/>
                <w:szCs w:val="20"/>
              </w:rPr>
              <w:t>KulaMawe</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CD62DC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710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A6CB9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F13F55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E202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Merti_Cherab_Shauriyako1</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E8849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367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7A12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42</w:t>
            </w:r>
          </w:p>
        </w:tc>
      </w:tr>
      <w:tr w:rsidR="00BC28CE" w14:paraId="2E48992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B7B1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Merti_Cherab_Shauriyako2</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3252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388</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28A4A1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B3FD29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28A7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Isiolo_Oldonyiro_Siangaun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C9E03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306</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4FD0F4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AEDFFE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A7E9C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Merti_Charri_Skuli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4237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280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6ABD5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C2C958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7E35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Isiolo_Burat_Slaughter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FDF01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587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9494D7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9FC1F2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7166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Merti_Cherab_Tachefayo</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653D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241</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8FF6CC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D632CF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44CC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Merti_Charri_Taqwa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748A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300</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BFE147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F15F2F9"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0C0A1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Merti_Cherab_Taqwa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F5E8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150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F71CB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9DA1E3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81707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Garbatulla_Kinna_Taqwa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840F8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447</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354735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501194E"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C5C1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Isiolo_Burat_Taqwa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94B2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556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38F21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43</w:t>
            </w:r>
          </w:p>
        </w:tc>
      </w:tr>
      <w:tr w:rsidR="00BC28CE" w14:paraId="42866248"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6347C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w:t>
            </w:r>
            <w:proofErr w:type="gramStart"/>
            <w:r>
              <w:rPr>
                <w:rFonts w:ascii="Arial" w:eastAsia="DejaVu Sans" w:hAnsi="DejaVu Sans" w:cs="DejaVu Sans"/>
                <w:color w:val="000000"/>
                <w:sz w:val="20"/>
                <w:szCs w:val="20"/>
              </w:rPr>
              <w:t>Kiwanjani</w:t>
            </w:r>
            <w:proofErr w:type="spellEnd"/>
            <w:r>
              <w:rPr>
                <w:rFonts w:ascii="Arial" w:eastAsia="DejaVu Sans" w:hAnsi="DejaVu Sans" w:cs="DejaVu Sans"/>
                <w:color w:val="000000"/>
                <w:sz w:val="20"/>
                <w:szCs w:val="20"/>
              </w:rPr>
              <w:t>(</w:t>
            </w:r>
            <w:proofErr w:type="gramEnd"/>
            <w:r>
              <w:rPr>
                <w:rFonts w:ascii="Arial" w:eastAsia="DejaVu Sans" w:hAnsi="DejaVu Sans" w:cs="DejaVu Sans"/>
                <w:color w:val="000000"/>
                <w:sz w:val="20"/>
                <w:szCs w:val="20"/>
              </w:rPr>
              <w:t>Merti)</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6A10E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265</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B67A8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B563DD6"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753F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Merti_Cherab_Taqwa1</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148E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996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AF2CC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08E6CFC"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68F2F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Merti_Cherab_Taqwa2</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2326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944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8BD59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1A129E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F7B2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Isiolo_Bulapesa_Town</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903F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1,505</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DBE30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44</w:t>
            </w:r>
          </w:p>
        </w:tc>
      </w:tr>
      <w:tr w:rsidR="00BC28CE" w14:paraId="03886D1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D183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Merti_Cherab_Town'A</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6A00E0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891</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546431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7A2B401A"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3CE24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lastRenderedPageBreak/>
              <w:t>Merti_Cherab_Town'B</w:t>
            </w:r>
            <w:proofErr w:type="spellEnd"/>
            <w:r>
              <w:rPr>
                <w:rFonts w:ascii="Arial" w:eastAsia="DejaVu Sans" w:hAnsi="DejaVu Sans" w:cs="DejaVu Sans"/>
                <w:color w:val="000000"/>
                <w:sz w:val="20"/>
                <w:szCs w:val="20"/>
              </w:rPr>
              <w:t>'</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64FF4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786</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453492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50D7CD7"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8470F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Isiolo_Ngaremara_Tractor</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937A8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274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4C4C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45</w:t>
            </w:r>
          </w:p>
        </w:tc>
      </w:tr>
      <w:tr w:rsidR="00BC28CE" w14:paraId="7295CD45"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7B04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Isiolo_Oldonyiro_Tualle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75A9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447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04289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F7393A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7F0B4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Isiolo_Wabera_Tuluroba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84B28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5,249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663D87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46</w:t>
            </w:r>
          </w:p>
        </w:tc>
      </w:tr>
      <w:tr w:rsidR="00BC28CE" w14:paraId="774F6351"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F58D9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Isiolo_Wabera_Wabera</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45E5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1,807</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71D04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47</w:t>
            </w:r>
          </w:p>
        </w:tc>
      </w:tr>
      <w:tr w:rsidR="00BC28CE" w14:paraId="0799CA1F"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A2177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Merti_Charri_Walote</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6BA9A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339</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58D2B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8766D00"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1EBCD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Garbatulla_Garbatulla_Wayam</w:t>
            </w:r>
          </w:p>
        </w:tc>
        <w:tc>
          <w:tcPr>
            <w:tcW w:w="1064"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44B55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300</w:t>
            </w:r>
          </w:p>
        </w:tc>
        <w:tc>
          <w:tcPr>
            <w:tcW w:w="717"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EE2E6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C506182" w14:textId="77777777" w:rsidTr="00E5329F">
        <w:trPr>
          <w:jc w:val="center"/>
        </w:trPr>
        <w:tc>
          <w:tcPr>
            <w:tcW w:w="321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40552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Garbatulla_Kinna_Yaq-Barasadi</w:t>
            </w:r>
            <w:proofErr w:type="spellEnd"/>
          </w:p>
        </w:tc>
        <w:tc>
          <w:tcPr>
            <w:tcW w:w="1064"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1026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414</w:t>
            </w:r>
          </w:p>
        </w:tc>
        <w:tc>
          <w:tcPr>
            <w:tcW w:w="717"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B4A5F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bl>
    <w:p w14:paraId="52B96B1A" w14:textId="77777777" w:rsidR="00BC28CE" w:rsidRDefault="00000000">
      <w:r>
        <w:t>If you reassigned clusters your justification for this will appear here:</w:t>
      </w:r>
    </w:p>
    <w:p w14:paraId="2E4EAB19" w14:textId="77777777" w:rsidR="00BC28CE" w:rsidRDefault="00000000">
      <w:r>
        <w:t>&lt;</w:t>
      </w:r>
      <w:proofErr w:type="spellStart"/>
      <w:r>
        <w:t>justificationClusterReassignment</w:t>
      </w:r>
      <w:proofErr w:type="spellEnd"/>
      <w:r>
        <w:t>&gt;</w:t>
      </w:r>
    </w:p>
    <w:p w14:paraId="1B06B214" w14:textId="77777777" w:rsidR="00BC28CE" w:rsidRPr="00E5329F" w:rsidRDefault="00000000">
      <w:pPr>
        <w:pStyle w:val="H1letter"/>
      </w:pPr>
      <w:bookmarkStart w:id="226" w:name="_Toc161945705"/>
      <w:r w:rsidRPr="00E5329F">
        <w:t>Standardization Test Results</w:t>
      </w:r>
      <w:bookmarkEnd w:id="226"/>
    </w:p>
    <w:p w14:paraId="3F83EDB3"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27" w:name="_Toc161945761"/>
      <w:r>
        <w:rPr>
          <w:b/>
        </w:rPr>
        <w:t xml:space="preserve">Table </w:t>
      </w:r>
      <w:r>
        <w:rPr>
          <w:b/>
        </w:rPr>
        <w:fldChar w:fldCharType="begin"/>
      </w:r>
      <w:r>
        <w:rPr>
          <w:b/>
        </w:rPr>
        <w:instrText>STYLEREF 1 \r</w:instrText>
      </w:r>
      <w:r w:rsidR="00822E50">
        <w:rPr>
          <w:b/>
        </w:rPr>
        <w:fldChar w:fldCharType="separate"/>
      </w:r>
      <w:r w:rsidR="00822E50">
        <w:rPr>
          <w:b/>
          <w:noProof/>
        </w:rPr>
        <w:t>12</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52</w:t>
      </w:r>
      <w:r>
        <w:rPr>
          <w:b/>
        </w:rPr>
        <w:fldChar w:fldCharType="end"/>
      </w:r>
      <w:r>
        <w:rPr>
          <w:b/>
        </w:rPr>
        <w:t xml:space="preserve">: </w:t>
      </w:r>
      <w:r>
        <w:t>Bias and Technical Error of Measurement (TEM) Results for Weight</w:t>
      </w:r>
      <w:bookmarkEnd w:id="227"/>
    </w:p>
    <w:tbl>
      <w:tblPr>
        <w:tblW w:w="0" w:type="auto"/>
        <w:jc w:val="center"/>
        <w:tblLayout w:type="fixed"/>
        <w:tblLook w:val="0420" w:firstRow="1" w:lastRow="0" w:firstColumn="0" w:lastColumn="0" w:noHBand="0" w:noVBand="1"/>
      </w:tblPr>
      <w:tblGrid>
        <w:gridCol w:w="2160"/>
        <w:gridCol w:w="1440"/>
        <w:gridCol w:w="720"/>
        <w:gridCol w:w="720"/>
        <w:gridCol w:w="1440"/>
        <w:gridCol w:w="1440"/>
        <w:gridCol w:w="1440"/>
      </w:tblGrid>
      <w:tr w:rsidR="00BC28CE" w14:paraId="1B252473" w14:textId="77777777">
        <w:trPr>
          <w:tblHeade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342C378"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7351AB7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No. of subjects</w:t>
            </w:r>
          </w:p>
        </w:tc>
        <w:tc>
          <w:tcPr>
            <w:tcW w:w="72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F2B91AE"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TEM</w:t>
            </w:r>
          </w:p>
        </w:tc>
        <w:tc>
          <w:tcPr>
            <w:tcW w:w="72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5808285"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Bias</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E1C1F02"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Bias relative to</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7DE386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 (TEM)</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327062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 (Bias)</w:t>
            </w:r>
          </w:p>
        </w:tc>
      </w:tr>
      <w:tr w:rsidR="00BC28CE" w14:paraId="7FD9F303" w14:textId="77777777">
        <w:trPr>
          <w:jc w:val="center"/>
        </w:trPr>
        <w:tc>
          <w:tcPr>
            <w:tcW w:w="9360" w:type="dxa"/>
            <w:gridSpan w:val="7"/>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AF40E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Individual TEM (intra)</w:t>
            </w:r>
          </w:p>
        </w:tc>
      </w:tr>
      <w:tr w:rsidR="00BC28CE" w14:paraId="4BCFF354"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4CB9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57CA2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960C1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EC5F5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0.06</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12282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59C40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6656B3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2F60412E"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B6B4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29554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B9E9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0.12</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E2D6F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2170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DD74B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6F99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6C7604CF"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B143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D718B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07EC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0.55</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317FB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0.17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260B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98D7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9A17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poor</w:t>
            </w:r>
          </w:p>
        </w:tc>
      </w:tr>
      <w:tr w:rsidR="00BC28CE" w14:paraId="2FFFB84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A36A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648E8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601B7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0.88</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E615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1.30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7DE5D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A3479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FEE7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1934846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4C4FB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A99BDA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0D515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0.07</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F5414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D5CF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8770C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A361E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53F462F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C7370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6</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96234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D4A6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DFF78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B360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7A66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BD87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33A2B92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18536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89DDF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152F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0.11</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C8B1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0.04</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4C6E9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63C04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80CF6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4F0980B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4A4FE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8</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8CD1A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7722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0.22</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6F1A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47B9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A217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87B58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6FC5176E"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A9ADB3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9</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1D7DF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9DD05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0.88</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4F0EE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1.30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9FC41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72A6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26AA1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49127F6C"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20DC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2B46E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F11532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0.88</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6AF77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1.30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4837B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3571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462B04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1397C7F8"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AF2FF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11</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CD01F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62B1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0.07</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0313A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0.02</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9EAE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954D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7D3CE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105B51DA"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0DF31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lastRenderedPageBreak/>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88AA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F087B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0.06</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87EF9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0.05</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0FF7D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48424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C7BB1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5DF96F2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5FC7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68DE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3CA17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0BC9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-0.60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494F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48E24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28A2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198F3BE0"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5291F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5B2FB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593C0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0.05</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06038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0.08</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57DE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3F4522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F004CC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53A8DE2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6F8CD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E9D7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30C57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B9393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99E3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5AB6A0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0EED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601D85D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5F03C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Supervisor</w:t>
            </w:r>
            <w:r>
              <w:rPr>
                <w:rFonts w:ascii="Arial" w:eastAsia="DejaVu Sans" w:hAnsi="DejaVu Sans" w:cs="DejaVu Sans"/>
                <w:color w:val="000000"/>
                <w:sz w:val="20"/>
                <w:szCs w:val="20"/>
              </w:rPr>
              <w:t> </w:t>
            </w:r>
            <w:r>
              <w:rPr>
                <w:rFonts w:ascii="Arial" w:eastAsia="DejaVu Sans" w:hAnsi="DejaVu Sans" w:cs="DejaVu Sans"/>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2127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AFF33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0.08</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615FB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-0.03</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A25B9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A0240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9292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71C56C42"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7A38C9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16</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54C1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937D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4.80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349E63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3.05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51189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CD78B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17D7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391D6F24"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D7030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17</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9C28D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DD79F4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05C18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DF33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D55F8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BDB6D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F4AC34B"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93D81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18</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A6D1F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D2450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AE016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47844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4F62BC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FA16D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0F8E114B"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232EC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19</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6B6AC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90D9432"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FB224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55F99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F8405A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6D8A06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B56D048"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83A327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AF50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9F0BD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396206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650A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C61BA5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C372A1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4E61B8E"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8133C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ABEF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17656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9A86F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38D4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47935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ED0BB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6B5BAC4" w14:textId="77777777">
        <w:trPr>
          <w:jc w:val="center"/>
        </w:trPr>
        <w:tc>
          <w:tcPr>
            <w:tcW w:w="9360" w:type="dxa"/>
            <w:gridSpan w:val="7"/>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ABBEE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Team TEM (inter)</w:t>
            </w:r>
          </w:p>
        </w:tc>
      </w:tr>
      <w:tr w:rsidR="00BC28CE" w14:paraId="2794655B"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CAA07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enum</w:t>
            </w:r>
            <w:proofErr w:type="spellEnd"/>
            <w:r>
              <w:rPr>
                <w:rFonts w:ascii="Arial" w:eastAsia="DejaVu Sans" w:hAnsi="DejaVu Sans" w:cs="DejaVu Sans"/>
                <w:color w:val="000000"/>
                <w:sz w:val="20"/>
                <w:szCs w:val="20"/>
              </w:rPr>
              <w:t xml:space="preserve"> inter 1st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C7B80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16x10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EF25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0.45</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82D7B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9A85F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11F9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692C4C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915745F"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30124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enum</w:t>
            </w:r>
            <w:proofErr w:type="spellEnd"/>
            <w:r>
              <w:rPr>
                <w:rFonts w:ascii="Arial" w:eastAsia="DejaVu Sans" w:hAnsi="DejaVu Sans" w:cs="DejaVu Sans"/>
                <w:color w:val="000000"/>
                <w:sz w:val="20"/>
                <w:szCs w:val="20"/>
              </w:rPr>
              <w:t xml:space="preserve"> inter 2nd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DD2132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16x10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3634C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93DD8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A6946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D991A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59F3DE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bl>
    <w:p w14:paraId="571E2A9D" w14:textId="77777777" w:rsidR="00BC28CE" w:rsidRDefault="00000000">
      <w:r>
        <w:br/>
      </w:r>
    </w:p>
    <w:p w14:paraId="3B55BB87"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28" w:name="_Toc161945762"/>
      <w:r>
        <w:rPr>
          <w:b/>
        </w:rPr>
        <w:t xml:space="preserve">Table </w:t>
      </w:r>
      <w:r>
        <w:rPr>
          <w:b/>
        </w:rPr>
        <w:fldChar w:fldCharType="begin"/>
      </w:r>
      <w:r>
        <w:rPr>
          <w:b/>
        </w:rPr>
        <w:instrText>STYLEREF 1 \r</w:instrText>
      </w:r>
      <w:r w:rsidR="00822E50">
        <w:rPr>
          <w:b/>
        </w:rPr>
        <w:fldChar w:fldCharType="separate"/>
      </w:r>
      <w:r w:rsidR="00822E50">
        <w:rPr>
          <w:b/>
          <w:noProof/>
        </w:rPr>
        <w:t>12</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53</w:t>
      </w:r>
      <w:r>
        <w:rPr>
          <w:b/>
        </w:rPr>
        <w:fldChar w:fldCharType="end"/>
      </w:r>
      <w:r>
        <w:rPr>
          <w:b/>
        </w:rPr>
        <w:t xml:space="preserve">: </w:t>
      </w:r>
      <w:r>
        <w:t>Bias and Technical Error of Measurement (TEM) Results for Height</w:t>
      </w:r>
      <w:bookmarkEnd w:id="228"/>
    </w:p>
    <w:tbl>
      <w:tblPr>
        <w:tblW w:w="0" w:type="auto"/>
        <w:jc w:val="center"/>
        <w:tblLayout w:type="fixed"/>
        <w:tblLook w:val="0420" w:firstRow="1" w:lastRow="0" w:firstColumn="0" w:lastColumn="0" w:noHBand="0" w:noVBand="1"/>
      </w:tblPr>
      <w:tblGrid>
        <w:gridCol w:w="2160"/>
        <w:gridCol w:w="1440"/>
        <w:gridCol w:w="720"/>
        <w:gridCol w:w="720"/>
        <w:gridCol w:w="1440"/>
        <w:gridCol w:w="1440"/>
        <w:gridCol w:w="1440"/>
      </w:tblGrid>
      <w:tr w:rsidR="00BC28CE" w14:paraId="0F9686CA" w14:textId="77777777">
        <w:trPr>
          <w:tblHeade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307F27F"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2EEE4C7"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No. of subjects</w:t>
            </w:r>
          </w:p>
        </w:tc>
        <w:tc>
          <w:tcPr>
            <w:tcW w:w="72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1CB7CAF"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TEM</w:t>
            </w:r>
          </w:p>
        </w:tc>
        <w:tc>
          <w:tcPr>
            <w:tcW w:w="72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67B2FF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Bias</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4EEC3A99"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Bias relative to</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790E2F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 (TEM)</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C5EE57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 (Bias)</w:t>
            </w:r>
          </w:p>
        </w:tc>
      </w:tr>
      <w:tr w:rsidR="00BC28CE" w14:paraId="325B1BBC" w14:textId="77777777">
        <w:trPr>
          <w:jc w:val="center"/>
        </w:trPr>
        <w:tc>
          <w:tcPr>
            <w:tcW w:w="9360" w:type="dxa"/>
            <w:gridSpan w:val="7"/>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1CBDA4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Individual TEM (intra)</w:t>
            </w:r>
          </w:p>
        </w:tc>
      </w:tr>
      <w:tr w:rsidR="00BC28CE" w14:paraId="1AF97080"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43BF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0757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B1207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0.45</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838A1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0.17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A1EE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506D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8F35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71E67B4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5D991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7C709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B907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0.49</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A6F08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-0.03</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AA67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45AD5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BC78F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6A14338B"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135D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BF23A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6B3F45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3.12</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B283C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0.29</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B773E8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8A62F2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6B1BB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230BB0E8"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0A4E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6FEA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2877CC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0.95</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CA6A3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14.43</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59489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42EB2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843FB4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67AFE80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8E6D2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FE45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1CA06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0.29</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6161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0.06</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8D584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249B6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0F5259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67A63359"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6503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lastRenderedPageBreak/>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6</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4AC0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6DA8C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0.50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3F1FF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0.28</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B912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02E5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21A57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71AE509A"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E0CD7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DA74D6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65279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0.60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17D5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0.29</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E7911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B22BE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4A55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335FB6E4"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57259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8</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549352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8998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0.11</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DA7681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-0.22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A5277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CDCE1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6798D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3CCC5076"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F81E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9</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B8B2E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B444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0.95</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AA25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14.43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E738DE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1791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3EC9B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3DD5D3A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378B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ED605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94DD5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0.95</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FC2B3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14.43</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13E52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4AFE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09E65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1407DAE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25447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11</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BFAB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B28B7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0.35</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4200B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C6C4A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75F7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59519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23E0D18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C65482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8CD1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5418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0.40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42E42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38C2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3820A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DA32E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2A9E861D"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D294D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A5A8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4F0A6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12.84</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44F14F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6.00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E52C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ED62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F3E4D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5BA05190"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E8BCBF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1DB7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31E15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0.08</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3E66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0.09</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8EB28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08081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CEA17D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0433913C"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65FA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34F62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7E8D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0.24</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D05E0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0.13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8B18E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4683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38201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1B442219"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5768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Supervisor</w:t>
            </w:r>
            <w:r>
              <w:rPr>
                <w:rFonts w:ascii="Arial" w:eastAsia="DejaVu Sans" w:hAnsi="DejaVu Sans" w:cs="DejaVu Sans"/>
                <w:color w:val="000000"/>
                <w:sz w:val="20"/>
                <w:szCs w:val="20"/>
              </w:rPr>
              <w:t> </w:t>
            </w:r>
            <w:r>
              <w:rPr>
                <w:rFonts w:ascii="Arial" w:eastAsia="DejaVu Sans" w:hAnsi="DejaVu Sans" w:cs="DejaVu Sans"/>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95DD1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30EF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0.43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36668A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-0.09</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C9B5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353F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0C832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3E265E0C"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DCD50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16</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E5388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B5B5F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0.95</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711D78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14.43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8770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Supervisor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0EB19C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poor</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648B3C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27D0FF0A"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F2B5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17</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A29996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8EE330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529232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36A08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8B9439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661FA6C"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1161F42"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D4FB9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18</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C401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6E263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BBEF8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AE1040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5656A2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A5FE3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1456C4F"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B9DEF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19</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AADE0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15876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7F7EC0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D26CD8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4A810C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98A6D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0A26843"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58E3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012CBD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C22DCC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7CD12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709F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A7E05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9572E9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684D144F"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186A8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5F2B9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B430A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BC497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5ADF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D337AA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F65CA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8B55EF2" w14:textId="77777777">
        <w:trPr>
          <w:jc w:val="center"/>
        </w:trPr>
        <w:tc>
          <w:tcPr>
            <w:tcW w:w="9360" w:type="dxa"/>
            <w:gridSpan w:val="7"/>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701109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Team TEM (inter)</w:t>
            </w:r>
          </w:p>
        </w:tc>
      </w:tr>
      <w:tr w:rsidR="00BC28CE" w14:paraId="586BB3CA"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108522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enum</w:t>
            </w:r>
            <w:proofErr w:type="spellEnd"/>
            <w:r>
              <w:rPr>
                <w:rFonts w:ascii="Arial" w:eastAsia="DejaVu Sans" w:hAnsi="DejaVu Sans" w:cs="DejaVu Sans"/>
                <w:color w:val="000000"/>
                <w:sz w:val="20"/>
                <w:szCs w:val="20"/>
              </w:rPr>
              <w:t xml:space="preserve"> inter 1st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43FB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16x10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625A76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4.16</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D947D6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49AACF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CEB029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ECFE40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930ADD9"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6DD1E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enum</w:t>
            </w:r>
            <w:proofErr w:type="spellEnd"/>
            <w:r>
              <w:rPr>
                <w:rFonts w:ascii="Arial" w:eastAsia="DejaVu Sans" w:hAnsi="DejaVu Sans" w:cs="DejaVu Sans"/>
                <w:color w:val="000000"/>
                <w:sz w:val="20"/>
                <w:szCs w:val="20"/>
              </w:rPr>
              <w:t xml:space="preserve"> inter 2nd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BEDD77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16x10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6EDD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3.99</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3ADE3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36C79F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38FCE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EE74436"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bl>
    <w:p w14:paraId="1B8A3CC5" w14:textId="77777777" w:rsidR="00BC28CE" w:rsidRDefault="00000000">
      <w:r>
        <w:br/>
      </w:r>
    </w:p>
    <w:p w14:paraId="214A0A5D"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29" w:name="_Toc161945763"/>
      <w:r>
        <w:rPr>
          <w:b/>
        </w:rPr>
        <w:t xml:space="preserve">Table </w:t>
      </w:r>
      <w:bookmarkStart w:id="230" w:name="standardization-test-results"/>
      <w:r>
        <w:rPr>
          <w:b/>
        </w:rPr>
        <w:fldChar w:fldCharType="begin"/>
      </w:r>
      <w:r>
        <w:rPr>
          <w:b/>
        </w:rPr>
        <w:instrText>STYLEREF 1 \r</w:instrText>
      </w:r>
      <w:r w:rsidR="00822E50">
        <w:rPr>
          <w:b/>
        </w:rPr>
        <w:fldChar w:fldCharType="separate"/>
      </w:r>
      <w:r w:rsidR="00822E50">
        <w:rPr>
          <w:b/>
          <w:noProof/>
        </w:rPr>
        <w:t>12</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54</w:t>
      </w:r>
      <w:r>
        <w:rPr>
          <w:b/>
        </w:rPr>
        <w:fldChar w:fldCharType="end"/>
      </w:r>
      <w:bookmarkEnd w:id="230"/>
      <w:r>
        <w:rPr>
          <w:b/>
        </w:rPr>
        <w:t xml:space="preserve">: </w:t>
      </w:r>
      <w:r>
        <w:t>Bias and Technical Error of Measurement (TEM) Results for MUAC</w:t>
      </w:r>
      <w:bookmarkEnd w:id="229"/>
    </w:p>
    <w:tbl>
      <w:tblPr>
        <w:tblW w:w="0" w:type="auto"/>
        <w:jc w:val="center"/>
        <w:tblLayout w:type="fixed"/>
        <w:tblLook w:val="0420" w:firstRow="1" w:lastRow="0" w:firstColumn="0" w:lastColumn="0" w:noHBand="0" w:noVBand="1"/>
      </w:tblPr>
      <w:tblGrid>
        <w:gridCol w:w="2160"/>
        <w:gridCol w:w="1440"/>
        <w:gridCol w:w="720"/>
        <w:gridCol w:w="720"/>
        <w:gridCol w:w="1440"/>
        <w:gridCol w:w="1440"/>
        <w:gridCol w:w="1440"/>
      </w:tblGrid>
      <w:tr w:rsidR="00BC28CE" w14:paraId="296FF3FD" w14:textId="77777777">
        <w:trPr>
          <w:tblHeade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307C5F7D" w14:textId="77777777" w:rsidR="00BC28CE" w:rsidRDefault="00BC28CE">
            <w:pPr>
              <w:pBdr>
                <w:top w:val="none" w:sz="0" w:space="0" w:color="000000"/>
                <w:left w:val="none" w:sz="0" w:space="0" w:color="000000"/>
                <w:bottom w:val="none" w:sz="0" w:space="0" w:color="000000"/>
                <w:right w:val="none" w:sz="0" w:space="0" w:color="000000"/>
              </w:pBdr>
              <w:spacing w:before="60" w:after="60"/>
              <w:ind w:left="60" w:right="20"/>
            </w:pP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2E67FFC0"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No. of subjects</w:t>
            </w:r>
          </w:p>
        </w:tc>
        <w:tc>
          <w:tcPr>
            <w:tcW w:w="72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66CB2B36"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TEM</w:t>
            </w:r>
          </w:p>
        </w:tc>
        <w:tc>
          <w:tcPr>
            <w:tcW w:w="72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B4594E1"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Bias</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76D428B"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Bias relative to</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59EC14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 (TEM)</w:t>
            </w:r>
          </w:p>
        </w:tc>
        <w:tc>
          <w:tcPr>
            <w:tcW w:w="1440" w:type="dxa"/>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669F1DA"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 (Bias)</w:t>
            </w:r>
          </w:p>
        </w:tc>
      </w:tr>
      <w:tr w:rsidR="00BC28CE" w14:paraId="018E7CCA" w14:textId="77777777">
        <w:trPr>
          <w:jc w:val="center"/>
        </w:trPr>
        <w:tc>
          <w:tcPr>
            <w:tcW w:w="9360" w:type="dxa"/>
            <w:gridSpan w:val="7"/>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46F008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Individual TEM (intra)</w:t>
            </w:r>
          </w:p>
        </w:tc>
      </w:tr>
      <w:tr w:rsidR="00BC28CE" w14:paraId="3EC0CCC0"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255FC7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C34C1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A4A81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1.88</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4FE9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1.05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FB9DA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F6AE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D84E7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6B3427EA"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7BC1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lastRenderedPageBreak/>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AA381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36837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1.77</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5DBC8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3.05</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D155F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036BC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64975A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4EE54024"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AEC33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27E64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E50BC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2.16</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02C4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1.05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4163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F8075A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acceptable</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E2F7D4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5D38ED88"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DA85E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4F23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FF2A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1.53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703710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-18.17</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14B6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7B856D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5E92B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26CA4D7D"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FD596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5C1D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E9BFD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1.18</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7296C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-0.40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0EC56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7B8D9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989CE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794AFECE"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A0B86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6</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2C4C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984A4B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30.42</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0AFCD5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-6.10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36603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ADF2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305C2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511844A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D1E141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5F61F9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2768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1.82</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8D960D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1.40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665C0A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89D5DC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823664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6CF09038"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B0DB8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8</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8610D1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410A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0.89</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0389E0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-4.40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71279F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DE88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62462D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277D6381"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D9A48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9</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F890C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7A9061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1.53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A5A80D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-18.17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0D503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2CBD40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0910BC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6E5FEE1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05F04A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842951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5EA16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1.53</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636E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-18.17</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B9A80E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150CAE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384F2B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62DDBC6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13D894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11</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C89C1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B19383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1.34</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18D396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0.60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1DF94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95AB1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76182A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262E5AE9"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9161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12</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74FD0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BF5D1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29.24</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74793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-5.87</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F5C1EC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14CD3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511C7E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3244CCA5"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B62516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13</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5D964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FFA605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4.03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4F57A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-25.00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E27E4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D13571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A01CDE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5E10085F"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46B92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14</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DE24FC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E1AE78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0.32</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31BB8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0.40</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3F30F0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93ED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C07B0A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good</w:t>
            </w:r>
          </w:p>
        </w:tc>
      </w:tr>
      <w:tr w:rsidR="00BC28CE" w14:paraId="507BF82E"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1E16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54B6AF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954108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4.53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90BC43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1.35</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37462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EA286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C1C307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acceptable</w:t>
            </w:r>
          </w:p>
        </w:tc>
      </w:tr>
      <w:tr w:rsidR="00BC28CE" w14:paraId="4B86E76F"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ECEA5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Supervisor</w:t>
            </w:r>
            <w:r>
              <w:rPr>
                <w:rFonts w:ascii="Arial" w:eastAsia="DejaVu Sans" w:hAnsi="DejaVu Sans" w:cs="DejaVu Sans"/>
                <w:color w:val="000000"/>
                <w:sz w:val="20"/>
                <w:szCs w:val="20"/>
              </w:rPr>
              <w:t> </w:t>
            </w:r>
            <w:r>
              <w:rPr>
                <w:rFonts w:ascii="Arial" w:eastAsia="DejaVu Sans" w:hAnsi="DejaVu Sans" w:cs="DejaVu Sans"/>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E68EC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4FF4DB8"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4.69</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15549E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-2.05</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0004C3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7920E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FF094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poor</w:t>
            </w:r>
          </w:p>
        </w:tc>
      </w:tr>
      <w:tr w:rsidR="00BC28CE" w14:paraId="778AC13B"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1695FF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16</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9394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AED95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 xml:space="preserve"> 1.53</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8D4FBF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-18.17</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D2AA9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5E637D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good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FA2C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Bias reject</w:t>
            </w:r>
          </w:p>
        </w:tc>
      </w:tr>
      <w:tr w:rsidR="00BC28CE" w14:paraId="0DE94E5C"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23E9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17</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9B7F69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7CF85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2502601"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CECCA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8D154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67627F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435124FC"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A6FE8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18</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2338E1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DFA814"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53FF44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8B796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EBC1E3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E0ACC7"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5085FE73"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04B77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19</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EFECA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F9E6BC0"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B986AF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14C1A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9E0D1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D68976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552856A"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F7F510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20</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255404F"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B90CF5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D6F491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1540DB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09FD458"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EA1EEC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3668B7D2"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9D4F8A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Observer</w:t>
            </w:r>
            <w:r>
              <w:rPr>
                <w:rFonts w:ascii="Arial" w:eastAsia="DejaVu Sans" w:hAnsi="DejaVu Sans" w:cs="DejaVu Sans"/>
                <w:color w:val="000000"/>
                <w:sz w:val="20"/>
                <w:szCs w:val="20"/>
              </w:rPr>
              <w:t> </w:t>
            </w:r>
            <w:r>
              <w:rPr>
                <w:rFonts w:ascii="Arial" w:eastAsia="DejaVu Sans" w:hAnsi="DejaVu Sans" w:cs="DejaVu Sans"/>
                <w:color w:val="000000"/>
                <w:sz w:val="20"/>
                <w:szCs w:val="20"/>
              </w:rPr>
              <w:t>21</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A5484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77392E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7D88E5F"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9DAD1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Median</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AA48A4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55A5B2D"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1F4E154A" w14:textId="77777777">
        <w:trPr>
          <w:jc w:val="center"/>
        </w:trPr>
        <w:tc>
          <w:tcPr>
            <w:tcW w:w="9360" w:type="dxa"/>
            <w:gridSpan w:val="7"/>
            <w:tcBorders>
              <w:top w:val="single" w:sz="8" w:space="0" w:color="000000"/>
              <w:left w:val="single" w:sz="8" w:space="0" w:color="000000"/>
              <w:bottom w:val="single" w:sz="8" w:space="0" w:color="000000"/>
              <w:right w:val="single" w:sz="8" w:space="0" w:color="000000"/>
            </w:tcBorders>
            <w:shd w:val="clear" w:color="auto" w:fill="ECC182"/>
            <w:tcMar>
              <w:top w:w="0" w:type="dxa"/>
              <w:left w:w="0" w:type="dxa"/>
              <w:bottom w:w="0" w:type="dxa"/>
              <w:right w:w="0" w:type="dxa"/>
            </w:tcMar>
            <w:vAlign w:val="center"/>
          </w:tcPr>
          <w:p w14:paraId="6A60D16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Team TEM (inter)</w:t>
            </w:r>
          </w:p>
        </w:tc>
      </w:tr>
      <w:tr w:rsidR="00BC28CE" w14:paraId="174C7CC3"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1938C8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enum</w:t>
            </w:r>
            <w:proofErr w:type="spellEnd"/>
            <w:r>
              <w:rPr>
                <w:rFonts w:ascii="Arial" w:eastAsia="DejaVu Sans" w:hAnsi="DejaVu Sans" w:cs="DejaVu Sans"/>
                <w:color w:val="000000"/>
                <w:sz w:val="20"/>
                <w:szCs w:val="20"/>
              </w:rPr>
              <w:t xml:space="preserve"> inter 1st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483E0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16x10</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25401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12.09</w:t>
            </w:r>
          </w:p>
        </w:tc>
        <w:tc>
          <w:tcPr>
            <w:tcW w:w="72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BD0FE39"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BB5A945"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2BB0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E27C8BB"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r w:rsidR="00BC28CE" w14:paraId="2E7F35A2" w14:textId="77777777">
        <w:trPr>
          <w:jc w:val="center"/>
        </w:trPr>
        <w:tc>
          <w:tcPr>
            <w:tcW w:w="216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C5B12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proofErr w:type="spellStart"/>
            <w:r>
              <w:rPr>
                <w:rFonts w:ascii="Arial" w:eastAsia="DejaVu Sans" w:hAnsi="DejaVu Sans" w:cs="DejaVu Sans"/>
                <w:color w:val="000000"/>
                <w:sz w:val="20"/>
                <w:szCs w:val="20"/>
              </w:rPr>
              <w:t>enum</w:t>
            </w:r>
            <w:proofErr w:type="spellEnd"/>
            <w:r>
              <w:rPr>
                <w:rFonts w:ascii="Arial" w:eastAsia="DejaVu Sans" w:hAnsi="DejaVu Sans" w:cs="DejaVu Sans"/>
                <w:color w:val="000000"/>
                <w:sz w:val="20"/>
                <w:szCs w:val="20"/>
              </w:rPr>
              <w:t xml:space="preserve"> inter 2nd</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CE5FFB3"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16x10</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E8F812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13.92</w:t>
            </w:r>
          </w:p>
        </w:tc>
        <w:tc>
          <w:tcPr>
            <w:tcW w:w="72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25B344E"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FF2341A"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9C5CA4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TEM reject</w:t>
            </w:r>
          </w:p>
        </w:tc>
        <w:tc>
          <w:tcPr>
            <w:tcW w:w="1440" w:type="dxa"/>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3ECCCF3" w14:textId="77777777" w:rsidR="00BC28CE" w:rsidRDefault="00BC28CE">
            <w:pPr>
              <w:pBdr>
                <w:top w:val="none" w:sz="0" w:space="0" w:color="000000"/>
                <w:left w:val="none" w:sz="0" w:space="0" w:color="000000"/>
                <w:bottom w:val="none" w:sz="0" w:space="0" w:color="000000"/>
                <w:right w:val="none" w:sz="0" w:space="0" w:color="000000"/>
              </w:pBdr>
              <w:spacing w:before="80" w:after="80"/>
              <w:ind w:left="80" w:right="80"/>
              <w:jc w:val="center"/>
            </w:pPr>
          </w:p>
        </w:tc>
      </w:tr>
    </w:tbl>
    <w:p w14:paraId="613959E5" w14:textId="77777777" w:rsidR="00BC28CE" w:rsidRPr="00E5329F" w:rsidRDefault="00000000">
      <w:pPr>
        <w:pStyle w:val="H1letter"/>
        <w:rPr>
          <w:i w:val="0"/>
          <w:iCs/>
        </w:rPr>
      </w:pPr>
      <w:bookmarkStart w:id="231" w:name="_Toc161945706"/>
      <w:r w:rsidRPr="00E5329F">
        <w:rPr>
          <w:i w:val="0"/>
          <w:iCs/>
        </w:rPr>
        <w:lastRenderedPageBreak/>
        <w:t>Plausibility Check</w:t>
      </w:r>
      <w:bookmarkEnd w:id="231"/>
    </w:p>
    <w:p w14:paraId="703AA26B" w14:textId="77777777" w:rsidR="00BC28CE" w:rsidRDefault="00000000">
      <w:r>
        <w:t>Attach the plausibility check here.</w:t>
      </w:r>
    </w:p>
    <w:p w14:paraId="1475E938" w14:textId="77777777" w:rsidR="00BC28CE" w:rsidRDefault="00000000">
      <w:pPr>
        <w:pStyle w:val="TableCaption"/>
        <w:pBdr>
          <w:top w:val="none" w:sz="0" w:space="0" w:color="000000"/>
          <w:left w:val="none" w:sz="0" w:space="0" w:color="000000"/>
          <w:bottom w:val="none" w:sz="0" w:space="0" w:color="000000"/>
          <w:right w:val="none" w:sz="0" w:space="0" w:color="000000"/>
        </w:pBdr>
        <w:spacing w:before="60" w:after="60" w:line="240" w:lineRule="auto"/>
        <w:ind w:left="60" w:right="60"/>
        <w:jc w:val="center"/>
      </w:pPr>
      <w:bookmarkStart w:id="232" w:name="_Toc161945764"/>
      <w:r>
        <w:rPr>
          <w:b/>
        </w:rPr>
        <w:t xml:space="preserve">Table </w:t>
      </w:r>
      <w:bookmarkStart w:id="233" w:name="plaus-snapshot"/>
      <w:r>
        <w:rPr>
          <w:b/>
        </w:rPr>
        <w:fldChar w:fldCharType="begin"/>
      </w:r>
      <w:r>
        <w:rPr>
          <w:b/>
        </w:rPr>
        <w:instrText>STYLEREF 1 \r</w:instrText>
      </w:r>
      <w:r w:rsidR="00822E50">
        <w:rPr>
          <w:b/>
        </w:rPr>
        <w:fldChar w:fldCharType="separate"/>
      </w:r>
      <w:r w:rsidR="00822E50">
        <w:rPr>
          <w:b/>
          <w:noProof/>
        </w:rPr>
        <w:t>12</w:t>
      </w:r>
      <w:r>
        <w:rPr>
          <w:b/>
        </w:rPr>
        <w:fldChar w:fldCharType="end"/>
      </w:r>
      <w:r>
        <w:rPr>
          <w:b/>
        </w:rPr>
        <w:t>-</w:t>
      </w:r>
      <w:r>
        <w:rPr>
          <w:b/>
        </w:rPr>
        <w:fldChar w:fldCharType="begin"/>
      </w:r>
      <w:r>
        <w:rPr>
          <w:b/>
        </w:rPr>
        <w:instrText>SEQ Table \* Arabic</w:instrText>
      </w:r>
      <w:r w:rsidR="00822E50">
        <w:rPr>
          <w:b/>
        </w:rPr>
        <w:fldChar w:fldCharType="separate"/>
      </w:r>
      <w:r w:rsidR="00822E50">
        <w:rPr>
          <w:b/>
          <w:noProof/>
        </w:rPr>
        <w:t>55</w:t>
      </w:r>
      <w:r>
        <w:rPr>
          <w:b/>
        </w:rPr>
        <w:fldChar w:fldCharType="end"/>
      </w:r>
      <w:bookmarkEnd w:id="233"/>
      <w:r>
        <w:rPr>
          <w:b/>
        </w:rPr>
        <w:t xml:space="preserve">: </w:t>
      </w:r>
      <w:r>
        <w:t>Anthropometry Data Quality Snapshot</w:t>
      </w:r>
      <w:bookmarkStart w:id="234" w:name="conclusion-and-recommendations"/>
      <w:bookmarkEnd w:id="232"/>
    </w:p>
    <w:tbl>
      <w:tblPr>
        <w:tblW w:w="5000" w:type="pct"/>
        <w:jc w:val="center"/>
        <w:tblLook w:val="0420" w:firstRow="1" w:lastRow="0" w:firstColumn="0" w:lastColumn="0" w:noHBand="0" w:noVBand="1"/>
      </w:tblPr>
      <w:tblGrid>
        <w:gridCol w:w="4666"/>
        <w:gridCol w:w="1661"/>
        <w:gridCol w:w="1199"/>
        <w:gridCol w:w="1814"/>
      </w:tblGrid>
      <w:tr w:rsidR="00BC28CE" w14:paraId="428D674B" w14:textId="77777777" w:rsidTr="00E5329F">
        <w:trPr>
          <w:tblHeade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A80D70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pPr>
            <w:r>
              <w:rPr>
                <w:rFonts w:ascii="Arial" w:eastAsia="DejaVu Sans" w:hAnsi="DejaVu Sans" w:cs="DejaVu Sans"/>
                <w:b/>
                <w:color w:val="FFFFFF"/>
                <w:sz w:val="20"/>
                <w:szCs w:val="20"/>
              </w:rPr>
              <w:t>Component</w:t>
            </w:r>
          </w:p>
        </w:tc>
        <w:tc>
          <w:tcPr>
            <w:tcW w:w="889"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0BC6A8B3"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Value</w:t>
            </w:r>
          </w:p>
        </w:tc>
        <w:tc>
          <w:tcPr>
            <w:tcW w:w="642"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5F429D7D"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Score</w:t>
            </w:r>
          </w:p>
        </w:tc>
        <w:tc>
          <w:tcPr>
            <w:tcW w:w="971" w:type="pct"/>
            <w:tcBorders>
              <w:top w:val="single" w:sz="8" w:space="0" w:color="000000"/>
              <w:left w:val="single" w:sz="8" w:space="0" w:color="000000"/>
              <w:bottom w:val="single" w:sz="8" w:space="0" w:color="000000"/>
              <w:right w:val="single" w:sz="8" w:space="0" w:color="000000"/>
            </w:tcBorders>
            <w:shd w:val="clear" w:color="auto" w:fill="363534"/>
            <w:tcMar>
              <w:top w:w="0" w:type="dxa"/>
              <w:left w:w="0" w:type="dxa"/>
              <w:bottom w:w="0" w:type="dxa"/>
              <w:right w:w="0" w:type="dxa"/>
            </w:tcMar>
            <w:vAlign w:val="center"/>
          </w:tcPr>
          <w:p w14:paraId="19A0A2AC" w14:textId="77777777" w:rsidR="00BC28CE" w:rsidRDefault="00000000">
            <w:pPr>
              <w:pBdr>
                <w:top w:val="none" w:sz="0" w:space="0" w:color="000000"/>
                <w:left w:val="none" w:sz="0" w:space="0" w:color="000000"/>
                <w:bottom w:val="none" w:sz="0" w:space="0" w:color="000000"/>
                <w:right w:val="none" w:sz="0" w:space="0" w:color="000000"/>
              </w:pBdr>
              <w:spacing w:before="60" w:after="60"/>
              <w:ind w:left="60" w:right="20"/>
              <w:jc w:val="center"/>
            </w:pPr>
            <w:r>
              <w:rPr>
                <w:rFonts w:ascii="Arial" w:eastAsia="DejaVu Sans" w:hAnsi="DejaVu Sans" w:cs="DejaVu Sans"/>
                <w:b/>
                <w:color w:val="FFFFFF"/>
                <w:sz w:val="20"/>
                <w:szCs w:val="20"/>
              </w:rPr>
              <w:t>Outcome</w:t>
            </w:r>
          </w:p>
        </w:tc>
      </w:tr>
      <w:tr w:rsidR="00BC28CE" w14:paraId="421EDC9D"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5C074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Flagged data</w:t>
            </w:r>
          </w:p>
        </w:tc>
        <w:tc>
          <w:tcPr>
            <w:tcW w:w="88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348CED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0.7%</w:t>
            </w:r>
          </w:p>
        </w:tc>
        <w:tc>
          <w:tcPr>
            <w:tcW w:w="642"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B32E3B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0A56E1B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57BF2C99"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5023B6B"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Overall Sex ratio</w:t>
            </w:r>
          </w:p>
        </w:tc>
        <w:tc>
          <w:tcPr>
            <w:tcW w:w="88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AE3D2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p=0.370</w:t>
            </w:r>
          </w:p>
        </w:tc>
        <w:tc>
          <w:tcPr>
            <w:tcW w:w="642"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46DE83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0772BCB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2075C348"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C1EBB2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 xml:space="preserve">Age </w:t>
            </w:r>
            <w:proofErr w:type="gramStart"/>
            <w:r>
              <w:rPr>
                <w:rFonts w:ascii="Arial" w:eastAsia="DejaVu Sans" w:hAnsi="DejaVu Sans" w:cs="DejaVu Sans"/>
                <w:color w:val="000000"/>
                <w:sz w:val="20"/>
                <w:szCs w:val="20"/>
              </w:rPr>
              <w:t>ratio(</w:t>
            </w:r>
            <w:proofErr w:type="gramEnd"/>
            <w:r>
              <w:rPr>
                <w:rFonts w:ascii="Arial" w:eastAsia="DejaVu Sans" w:hAnsi="DejaVu Sans" w:cs="DejaVu Sans"/>
                <w:color w:val="000000"/>
                <w:sz w:val="20"/>
                <w:szCs w:val="20"/>
              </w:rPr>
              <w:t>6-29 vs 30-59)</w:t>
            </w:r>
          </w:p>
        </w:tc>
        <w:tc>
          <w:tcPr>
            <w:tcW w:w="88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1FFA62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p=0.947</w:t>
            </w:r>
          </w:p>
        </w:tc>
        <w:tc>
          <w:tcPr>
            <w:tcW w:w="642"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79538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2ACF66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075E041E"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0D17047" w14:textId="513A7B43"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 xml:space="preserve">Dig </w:t>
            </w:r>
            <w:proofErr w:type="spellStart"/>
            <w:r>
              <w:rPr>
                <w:rFonts w:ascii="Arial" w:eastAsia="DejaVu Sans" w:hAnsi="DejaVu Sans" w:cs="DejaVu Sans"/>
                <w:color w:val="000000"/>
                <w:sz w:val="20"/>
                <w:szCs w:val="20"/>
              </w:rPr>
              <w:t>pref</w:t>
            </w:r>
            <w:proofErr w:type="spellEnd"/>
            <w:r>
              <w:rPr>
                <w:rFonts w:ascii="Arial" w:eastAsia="DejaVu Sans" w:hAnsi="DejaVu Sans" w:cs="DejaVu Sans"/>
                <w:color w:val="000000"/>
                <w:sz w:val="20"/>
                <w:szCs w:val="20"/>
              </w:rPr>
              <w:t xml:space="preserve"> score </w:t>
            </w:r>
            <w:r w:rsidR="00B944BC">
              <w:rPr>
                <w:rFonts w:ascii="Arial" w:eastAsia="DejaVu Sans" w:hAnsi="DejaVu Sans" w:cs="DejaVu Sans"/>
                <w:color w:val="000000"/>
                <w:sz w:val="20"/>
                <w:szCs w:val="20"/>
              </w:rPr>
              <w:t>–</w:t>
            </w:r>
            <w:r>
              <w:rPr>
                <w:rFonts w:ascii="Arial" w:eastAsia="DejaVu Sans" w:hAnsi="DejaVu Sans" w:cs="DejaVu Sans"/>
                <w:color w:val="000000"/>
                <w:sz w:val="20"/>
                <w:szCs w:val="20"/>
              </w:rPr>
              <w:t xml:space="preserve"> weight</w:t>
            </w:r>
          </w:p>
        </w:tc>
        <w:tc>
          <w:tcPr>
            <w:tcW w:w="88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DCD4CC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w:t>
            </w:r>
          </w:p>
        </w:tc>
        <w:tc>
          <w:tcPr>
            <w:tcW w:w="642"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8083BB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E80D9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1CDC9335"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CD0B775" w14:textId="11D6534C"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 xml:space="preserve">Dig </w:t>
            </w:r>
            <w:proofErr w:type="spellStart"/>
            <w:r>
              <w:rPr>
                <w:rFonts w:ascii="Arial" w:eastAsia="DejaVu Sans" w:hAnsi="DejaVu Sans" w:cs="DejaVu Sans"/>
                <w:color w:val="000000"/>
                <w:sz w:val="20"/>
                <w:szCs w:val="20"/>
              </w:rPr>
              <w:t>pref</w:t>
            </w:r>
            <w:proofErr w:type="spellEnd"/>
            <w:r>
              <w:rPr>
                <w:rFonts w:ascii="Arial" w:eastAsia="DejaVu Sans" w:hAnsi="DejaVu Sans" w:cs="DejaVu Sans"/>
                <w:color w:val="000000"/>
                <w:sz w:val="20"/>
                <w:szCs w:val="20"/>
              </w:rPr>
              <w:t xml:space="preserve"> score </w:t>
            </w:r>
            <w:r w:rsidR="00B944BC">
              <w:rPr>
                <w:rFonts w:ascii="Arial" w:eastAsia="DejaVu Sans" w:hAnsi="DejaVu Sans" w:cs="DejaVu Sans"/>
                <w:color w:val="000000"/>
                <w:sz w:val="20"/>
                <w:szCs w:val="20"/>
              </w:rPr>
              <w:t>–</w:t>
            </w:r>
            <w:r>
              <w:rPr>
                <w:rFonts w:ascii="Arial" w:eastAsia="DejaVu Sans" w:hAnsi="DejaVu Sans" w:cs="DejaVu Sans"/>
                <w:color w:val="000000"/>
                <w:sz w:val="20"/>
                <w:szCs w:val="20"/>
              </w:rPr>
              <w:t xml:space="preserve"> height</w:t>
            </w:r>
          </w:p>
        </w:tc>
        <w:tc>
          <w:tcPr>
            <w:tcW w:w="88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1AE51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6</w:t>
            </w:r>
          </w:p>
        </w:tc>
        <w:tc>
          <w:tcPr>
            <w:tcW w:w="642"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8D25D5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952E9B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00AAADF3"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508128C" w14:textId="33497B51"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 xml:space="preserve">Dig </w:t>
            </w:r>
            <w:proofErr w:type="spellStart"/>
            <w:r>
              <w:rPr>
                <w:rFonts w:ascii="Arial" w:eastAsia="DejaVu Sans" w:hAnsi="DejaVu Sans" w:cs="DejaVu Sans"/>
                <w:color w:val="000000"/>
                <w:sz w:val="20"/>
                <w:szCs w:val="20"/>
              </w:rPr>
              <w:t>pref</w:t>
            </w:r>
            <w:proofErr w:type="spellEnd"/>
            <w:r>
              <w:rPr>
                <w:rFonts w:ascii="Arial" w:eastAsia="DejaVu Sans" w:hAnsi="DejaVu Sans" w:cs="DejaVu Sans"/>
                <w:color w:val="000000"/>
                <w:sz w:val="20"/>
                <w:szCs w:val="20"/>
              </w:rPr>
              <w:t xml:space="preserve"> score </w:t>
            </w:r>
            <w:r w:rsidR="00B944BC">
              <w:rPr>
                <w:rFonts w:ascii="Arial" w:eastAsia="DejaVu Sans" w:hAnsi="DejaVu Sans" w:cs="DejaVu Sans"/>
                <w:color w:val="000000"/>
                <w:sz w:val="20"/>
                <w:szCs w:val="20"/>
              </w:rPr>
              <w:t>–</w:t>
            </w:r>
            <w:r>
              <w:rPr>
                <w:rFonts w:ascii="Arial" w:eastAsia="DejaVu Sans" w:hAnsi="DejaVu Sans" w:cs="DejaVu Sans"/>
                <w:color w:val="000000"/>
                <w:sz w:val="20"/>
                <w:szCs w:val="20"/>
              </w:rPr>
              <w:t xml:space="preserve"> MUAC</w:t>
            </w:r>
          </w:p>
        </w:tc>
        <w:tc>
          <w:tcPr>
            <w:tcW w:w="88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31BC6AD7"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4</w:t>
            </w:r>
          </w:p>
        </w:tc>
        <w:tc>
          <w:tcPr>
            <w:tcW w:w="642"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245B75C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3C110B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48A7B466"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2EDFED9D"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Standard Dev WHZ</w:t>
            </w:r>
          </w:p>
        </w:tc>
        <w:tc>
          <w:tcPr>
            <w:tcW w:w="88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FAB6B9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0.96</w:t>
            </w:r>
          </w:p>
        </w:tc>
        <w:tc>
          <w:tcPr>
            <w:tcW w:w="642"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E4A5C40"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15C1D8D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18B886B1"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64C08B2A"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Skewness WHZ</w:t>
            </w:r>
          </w:p>
        </w:tc>
        <w:tc>
          <w:tcPr>
            <w:tcW w:w="88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9A7A97E"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-0.02</w:t>
            </w:r>
          </w:p>
        </w:tc>
        <w:tc>
          <w:tcPr>
            <w:tcW w:w="642"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01E1B7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E0FA1A1"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7D4C855E"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A13E8AC"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Kurtosis WHZ</w:t>
            </w:r>
          </w:p>
        </w:tc>
        <w:tc>
          <w:tcPr>
            <w:tcW w:w="88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8D20D6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-0.12</w:t>
            </w:r>
          </w:p>
        </w:tc>
        <w:tc>
          <w:tcPr>
            <w:tcW w:w="642"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D5969F5"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4A42BCA9"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67F50249"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7BA56F8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pPr>
            <w:r>
              <w:rPr>
                <w:rFonts w:ascii="Arial" w:eastAsia="DejaVu Sans" w:hAnsi="DejaVu Sans" w:cs="DejaVu Sans"/>
                <w:color w:val="000000"/>
                <w:sz w:val="20"/>
                <w:szCs w:val="20"/>
              </w:rPr>
              <w:t xml:space="preserve">Poisson </w:t>
            </w:r>
            <w:proofErr w:type="spellStart"/>
            <w:r>
              <w:rPr>
                <w:rFonts w:ascii="Arial" w:eastAsia="DejaVu Sans" w:hAnsi="DejaVu Sans" w:cs="DejaVu Sans"/>
                <w:color w:val="000000"/>
                <w:sz w:val="20"/>
                <w:szCs w:val="20"/>
              </w:rPr>
              <w:t>dist</w:t>
            </w:r>
            <w:proofErr w:type="spellEnd"/>
            <w:r>
              <w:rPr>
                <w:rFonts w:ascii="Arial" w:eastAsia="DejaVu Sans" w:hAnsi="DejaVu Sans" w:cs="DejaVu Sans"/>
                <w:color w:val="000000"/>
                <w:sz w:val="20"/>
                <w:szCs w:val="20"/>
              </w:rPr>
              <w:t xml:space="preserve"> WHZ-2</w:t>
            </w:r>
          </w:p>
        </w:tc>
        <w:tc>
          <w:tcPr>
            <w:tcW w:w="889"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14B40B46"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p=0.081</w:t>
            </w:r>
          </w:p>
        </w:tc>
        <w:tc>
          <w:tcPr>
            <w:tcW w:w="642"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5A213AB2"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AFAFA"/>
            <w:tcMar>
              <w:top w:w="0" w:type="dxa"/>
              <w:left w:w="0" w:type="dxa"/>
              <w:bottom w:w="0" w:type="dxa"/>
              <w:right w:w="0" w:type="dxa"/>
            </w:tcMar>
            <w:vAlign w:val="center"/>
          </w:tcPr>
          <w:p w14:paraId="47D59654" w14:textId="77777777" w:rsidR="00BC28CE" w:rsidRDefault="00000000">
            <w:pPr>
              <w:pBdr>
                <w:top w:val="none" w:sz="0" w:space="0" w:color="000000"/>
                <w:left w:val="none" w:sz="0" w:space="0" w:color="000000"/>
                <w:bottom w:val="none" w:sz="0" w:space="0" w:color="000000"/>
                <w:right w:val="none" w:sz="0" w:space="0" w:color="000000"/>
              </w:pBdr>
              <w:spacing w:before="80" w:after="80"/>
              <w:ind w:left="80" w:right="80"/>
              <w:jc w:val="center"/>
            </w:pPr>
            <w:r>
              <w:rPr>
                <w:rFonts w:ascii="Arial" w:eastAsia="DejaVu Sans" w:hAnsi="DejaVu Sans" w:cs="DejaVu Sans"/>
                <w:color w:val="000000"/>
                <w:sz w:val="20"/>
                <w:szCs w:val="20"/>
              </w:rPr>
              <w:t>Excellent</w:t>
            </w:r>
          </w:p>
        </w:tc>
      </w:tr>
      <w:tr w:rsidR="00BC28CE" w14:paraId="5148B81B" w14:textId="77777777" w:rsidTr="00E5329F">
        <w:trPr>
          <w:jc w:val="center"/>
        </w:trPr>
        <w:tc>
          <w:tcPr>
            <w:tcW w:w="2498"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3D658855" w14:textId="77777777" w:rsidR="00BC28CE" w:rsidRPr="00E5329F" w:rsidRDefault="00000000">
            <w:pPr>
              <w:pBdr>
                <w:top w:val="none" w:sz="0" w:space="0" w:color="000000"/>
                <w:left w:val="none" w:sz="0" w:space="0" w:color="000000"/>
                <w:bottom w:val="none" w:sz="0" w:space="0" w:color="000000"/>
                <w:right w:val="none" w:sz="0" w:space="0" w:color="000000"/>
              </w:pBdr>
              <w:spacing w:before="80" w:after="80"/>
              <w:ind w:left="80" w:right="80"/>
              <w:rPr>
                <w:b/>
                <w:bCs/>
              </w:rPr>
            </w:pPr>
            <w:r w:rsidRPr="00E5329F">
              <w:rPr>
                <w:rFonts w:ascii="Arial" w:eastAsia="DejaVu Sans" w:hAnsi="DejaVu Sans" w:cs="DejaVu Sans"/>
                <w:b/>
                <w:bCs/>
                <w:color w:val="000000"/>
                <w:sz w:val="20"/>
                <w:szCs w:val="20"/>
              </w:rPr>
              <w:t>OVERALL SCORE WHZ =</w:t>
            </w:r>
          </w:p>
        </w:tc>
        <w:tc>
          <w:tcPr>
            <w:tcW w:w="889"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7B2BE83C" w14:textId="77777777" w:rsidR="00BC28CE" w:rsidRPr="00E5329F" w:rsidRDefault="00BC28CE">
            <w:pPr>
              <w:pBdr>
                <w:top w:val="none" w:sz="0" w:space="0" w:color="000000"/>
                <w:left w:val="none" w:sz="0" w:space="0" w:color="000000"/>
                <w:bottom w:val="none" w:sz="0" w:space="0" w:color="000000"/>
                <w:right w:val="none" w:sz="0" w:space="0" w:color="000000"/>
              </w:pBdr>
              <w:spacing w:before="80" w:after="80"/>
              <w:ind w:left="80" w:right="80"/>
              <w:jc w:val="center"/>
              <w:rPr>
                <w:b/>
                <w:bCs/>
              </w:rPr>
            </w:pPr>
          </w:p>
        </w:tc>
        <w:tc>
          <w:tcPr>
            <w:tcW w:w="642"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5E795150" w14:textId="77777777" w:rsidR="00BC28CE" w:rsidRPr="00E5329F" w:rsidRDefault="00000000">
            <w:pPr>
              <w:pBdr>
                <w:top w:val="none" w:sz="0" w:space="0" w:color="000000"/>
                <w:left w:val="none" w:sz="0" w:space="0" w:color="000000"/>
                <w:bottom w:val="none" w:sz="0" w:space="0" w:color="000000"/>
                <w:right w:val="none" w:sz="0" w:space="0" w:color="000000"/>
              </w:pBdr>
              <w:spacing w:before="80" w:after="80"/>
              <w:ind w:left="80" w:right="80"/>
              <w:jc w:val="center"/>
              <w:rPr>
                <w:b/>
                <w:bCs/>
              </w:rPr>
            </w:pPr>
            <w:r w:rsidRPr="00E5329F">
              <w:rPr>
                <w:rFonts w:ascii="Arial" w:eastAsia="DejaVu Sans" w:hAnsi="DejaVu Sans" w:cs="DejaVu Sans"/>
                <w:b/>
                <w:bCs/>
                <w:color w:val="000000"/>
                <w:sz w:val="20"/>
                <w:szCs w:val="20"/>
              </w:rPr>
              <w:t>0</w:t>
            </w:r>
          </w:p>
        </w:tc>
        <w:tc>
          <w:tcPr>
            <w:tcW w:w="971" w:type="pct"/>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center"/>
          </w:tcPr>
          <w:p w14:paraId="6F314C4A" w14:textId="77777777" w:rsidR="00BC28CE" w:rsidRPr="00E5329F" w:rsidRDefault="00000000">
            <w:pPr>
              <w:pBdr>
                <w:top w:val="none" w:sz="0" w:space="0" w:color="000000"/>
                <w:left w:val="none" w:sz="0" w:space="0" w:color="000000"/>
                <w:bottom w:val="none" w:sz="0" w:space="0" w:color="000000"/>
                <w:right w:val="none" w:sz="0" w:space="0" w:color="000000"/>
              </w:pBdr>
              <w:spacing w:before="80" w:after="80"/>
              <w:ind w:left="80" w:right="80"/>
              <w:jc w:val="center"/>
              <w:rPr>
                <w:b/>
                <w:bCs/>
              </w:rPr>
            </w:pPr>
            <w:r w:rsidRPr="00E5329F">
              <w:rPr>
                <w:rFonts w:ascii="Arial" w:eastAsia="DejaVu Sans" w:hAnsi="DejaVu Sans" w:cs="DejaVu Sans"/>
                <w:b/>
                <w:bCs/>
                <w:color w:val="000000"/>
                <w:sz w:val="20"/>
                <w:szCs w:val="20"/>
              </w:rPr>
              <w:t>Excellent</w:t>
            </w:r>
          </w:p>
        </w:tc>
      </w:tr>
    </w:tbl>
    <w:p w14:paraId="6DCBBC26" w14:textId="77777777" w:rsidR="00BC28CE" w:rsidRDefault="00000000">
      <w:pPr>
        <w:pStyle w:val="H1letter"/>
      </w:pPr>
      <w:bookmarkStart w:id="235" w:name="_Toc161945707"/>
      <w:r>
        <w:t>Integrated Questionnaire</w:t>
      </w:r>
      <w:bookmarkEnd w:id="235"/>
    </w:p>
    <w:p w14:paraId="3BFDDD90" w14:textId="28B341C3" w:rsidR="00BC28CE" w:rsidRDefault="00C53C3A">
      <w:r>
        <w:object w:dxaOrig="1543" w:dyaOrig="995" w14:anchorId="7FEEAA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6pt;height:49.55pt" o:ole="">
            <v:imagedata r:id="rId29" o:title=""/>
          </v:shape>
          <o:OLEObject Type="Embed" ProgID="Excel.Sheet.12" ShapeID="_x0000_i1025" DrawAspect="Icon" ObjectID="_1772858083" r:id="rId30"/>
        </w:object>
      </w:r>
    </w:p>
    <w:p w14:paraId="1529BC8D" w14:textId="77777777" w:rsidR="00BC28CE" w:rsidRDefault="00000000">
      <w:pPr>
        <w:pStyle w:val="H1letter"/>
      </w:pPr>
      <w:bookmarkStart w:id="236" w:name="_Toc161945708"/>
      <w:r>
        <w:t>Map of Area</w:t>
      </w:r>
      <w:bookmarkEnd w:id="236"/>
    </w:p>
    <w:p w14:paraId="7D331B86" w14:textId="77777777" w:rsidR="00BC28CE" w:rsidRDefault="00000000">
      <w:r>
        <w:t>Include a map of the survey area here.</w:t>
      </w:r>
    </w:p>
    <w:p w14:paraId="2CB3EDA0" w14:textId="77777777" w:rsidR="00BC28CE" w:rsidRDefault="00000000">
      <w:pPr>
        <w:pStyle w:val="ImageCaption"/>
      </w:pPr>
      <w:bookmarkStart w:id="237" w:name="_Toc161945773"/>
      <w:r>
        <w:rPr>
          <w:b/>
        </w:rPr>
        <w:t xml:space="preserve">Figure </w:t>
      </w:r>
      <w:bookmarkStart w:id="238" w:name="survey-map"/>
      <w:r>
        <w:rPr>
          <w:b/>
        </w:rPr>
        <w:fldChar w:fldCharType="begin"/>
      </w:r>
      <w:r>
        <w:rPr>
          <w:b/>
        </w:rPr>
        <w:instrText>STYLEREF 1 \r</w:instrText>
      </w:r>
      <w:r w:rsidR="00822E50">
        <w:rPr>
          <w:b/>
        </w:rPr>
        <w:fldChar w:fldCharType="separate"/>
      </w:r>
      <w:r w:rsidR="00822E50">
        <w:rPr>
          <w:b/>
          <w:noProof/>
        </w:rPr>
        <w:t>12</w:t>
      </w:r>
      <w:r>
        <w:rPr>
          <w:b/>
        </w:rPr>
        <w:fldChar w:fldCharType="end"/>
      </w:r>
      <w:r>
        <w:rPr>
          <w:b/>
        </w:rPr>
        <w:t>-</w:t>
      </w:r>
      <w:r>
        <w:rPr>
          <w:b/>
        </w:rPr>
        <w:fldChar w:fldCharType="begin"/>
      </w:r>
      <w:r>
        <w:rPr>
          <w:b/>
        </w:rPr>
        <w:instrText>SEQ Figure \* Arabic</w:instrText>
      </w:r>
      <w:r w:rsidR="00822E50">
        <w:rPr>
          <w:b/>
        </w:rPr>
        <w:fldChar w:fldCharType="separate"/>
      </w:r>
      <w:r w:rsidR="00822E50">
        <w:rPr>
          <w:b/>
          <w:noProof/>
        </w:rPr>
        <w:t>9</w:t>
      </w:r>
      <w:r>
        <w:rPr>
          <w:b/>
        </w:rPr>
        <w:fldChar w:fldCharType="end"/>
      </w:r>
      <w:bookmarkEnd w:id="238"/>
      <w:r>
        <w:rPr>
          <w:b/>
        </w:rPr>
        <w:t xml:space="preserve">: </w:t>
      </w:r>
      <w:r>
        <w:t>Survey Area</w:t>
      </w:r>
      <w:bookmarkEnd w:id="237"/>
    </w:p>
    <w:p w14:paraId="0DAFD60A" w14:textId="30015B01" w:rsidR="00BC28CE" w:rsidRDefault="00BC28CE">
      <w:pPr>
        <w:jc w:val="center"/>
      </w:pPr>
    </w:p>
    <w:p w14:paraId="2DB2F8FA" w14:textId="09B1573A" w:rsidR="00BC28CE" w:rsidRDefault="00B8212A">
      <w:pPr>
        <w:pStyle w:val="H1nonum"/>
      </w:pPr>
      <w:bookmarkStart w:id="239" w:name="_Toc161945709"/>
      <w:r w:rsidRPr="00945A81">
        <w:rPr>
          <w:b w:val="0"/>
          <w:noProof/>
        </w:rPr>
        <w:lastRenderedPageBreak/>
        <w:drawing>
          <wp:anchor distT="0" distB="0" distL="114300" distR="114300" simplePos="0" relativeHeight="251672576" behindDoc="1" locked="0" layoutInCell="1" allowOverlap="1" wp14:anchorId="10D6037D" wp14:editId="1BBBB029">
            <wp:simplePos x="0" y="0"/>
            <wp:positionH relativeFrom="margin">
              <wp:posOffset>-95250</wp:posOffset>
            </wp:positionH>
            <wp:positionV relativeFrom="paragraph">
              <wp:posOffset>231</wp:posOffset>
            </wp:positionV>
            <wp:extent cx="5248275" cy="5356860"/>
            <wp:effectExtent l="0" t="0" r="9525" b="0"/>
            <wp:wrapTopAndBottom/>
            <wp:docPr id="19" name="Picture 19" descr="C:\Users\Francis Njeru\Desktop\Briefing Kit_SRA 2019\1. Maps\County_jpeg\Isi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s Njeru\Desktop\Briefing Kit_SRA 2019\1. Maps\County_jpeg\Isiolo.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20682"/>
                    <a:stretch/>
                  </pic:blipFill>
                  <pic:spPr bwMode="auto">
                    <a:xfrm>
                      <a:off x="0" y="0"/>
                      <a:ext cx="5248275" cy="535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t>References</w:t>
      </w:r>
      <w:bookmarkEnd w:id="239"/>
    </w:p>
    <w:p w14:paraId="46066344" w14:textId="3B140284" w:rsidR="00BC28CE" w:rsidRDefault="00000000">
      <w:r>
        <w:t>List your references here.</w:t>
      </w:r>
      <w:bookmarkEnd w:id="234"/>
    </w:p>
    <w:sectPr w:rsidR="00BC28CE" w:rsidSect="0088658D">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8A793" w14:textId="77777777" w:rsidR="0088658D" w:rsidRDefault="0088658D">
      <w:pPr>
        <w:spacing w:before="0" w:after="0"/>
      </w:pPr>
      <w:r>
        <w:separator/>
      </w:r>
    </w:p>
  </w:endnote>
  <w:endnote w:type="continuationSeparator" w:id="0">
    <w:p w14:paraId="725F0181" w14:textId="77777777" w:rsidR="0088658D" w:rsidRDefault="0088658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xa Light">
    <w:altName w:val="Calibri"/>
    <w:charset w:val="00"/>
    <w:family w:val="auto"/>
    <w:pitch w:val="variable"/>
    <w:sig w:usb0="800000A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Nexa Bold">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Verdana"/>
    <w:panose1 w:val="00000000000000000000"/>
    <w:charset w:val="00"/>
    <w:family w:val="roman"/>
    <w:notTrueType/>
    <w:pitch w:val="default"/>
  </w:font>
  <w:font w:name="Gill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600F" w14:textId="77777777" w:rsidR="00000000" w:rsidRDefault="00000000" w:rsidP="00BA4E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822E50">
      <w:rPr>
        <w:rStyle w:val="PageNumber"/>
      </w:rPr>
      <w:fldChar w:fldCharType="separate"/>
    </w:r>
    <w:r w:rsidR="00822E50">
      <w:rPr>
        <w:rStyle w:val="PageNumber"/>
        <w:noProof/>
      </w:rPr>
      <w:t>58</w:t>
    </w:r>
    <w:r>
      <w:rPr>
        <w:rStyle w:val="PageNumber"/>
      </w:rPr>
      <w:fldChar w:fldCharType="end"/>
    </w:r>
  </w:p>
  <w:p w14:paraId="7907EE45" w14:textId="77777777" w:rsidR="00000000" w:rsidRDefault="00000000" w:rsidP="001D6B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b/>
        <w:bCs/>
        <w:i/>
        <w:iCs/>
        <w:color w:val="000000" w:themeColor="text1"/>
        <w:sz w:val="20"/>
        <w:szCs w:val="20"/>
      </w:rPr>
      <w:id w:val="1333251281"/>
      <w:docPartObj>
        <w:docPartGallery w:val="Page Numbers (Bottom of Page)"/>
        <w:docPartUnique/>
      </w:docPartObj>
    </w:sdtPr>
    <w:sdtContent>
      <w:p w14:paraId="5DEA1C1F" w14:textId="77777777" w:rsidR="00000000" w:rsidRPr="00AB6DF9" w:rsidRDefault="00000000" w:rsidP="00AB6DF9">
        <w:pPr>
          <w:pStyle w:val="Footer"/>
          <w:framePr w:wrap="none" w:vAnchor="text" w:hAnchor="margin" w:xAlign="right" w:y="1"/>
          <w:snapToGrid w:val="0"/>
          <w:rPr>
            <w:rStyle w:val="PageNumber"/>
            <w:b/>
            <w:bCs/>
            <w:i/>
            <w:iCs/>
            <w:color w:val="000000" w:themeColor="text1"/>
            <w:sz w:val="20"/>
            <w:szCs w:val="20"/>
          </w:rPr>
        </w:pPr>
        <w:r w:rsidRPr="00AB6DF9">
          <w:rPr>
            <w:rStyle w:val="PageNumber"/>
            <w:b/>
            <w:bCs/>
            <w:i/>
            <w:iCs/>
            <w:color w:val="000000" w:themeColor="text1"/>
            <w:sz w:val="20"/>
            <w:szCs w:val="20"/>
          </w:rPr>
          <w:fldChar w:fldCharType="begin"/>
        </w:r>
        <w:r w:rsidRPr="00AB6DF9">
          <w:rPr>
            <w:rStyle w:val="PageNumber"/>
            <w:b/>
            <w:bCs/>
            <w:iCs/>
            <w:color w:val="000000" w:themeColor="text1"/>
            <w:sz w:val="20"/>
            <w:szCs w:val="20"/>
          </w:rPr>
          <w:instrText xml:space="preserve"> PAGE </w:instrText>
        </w:r>
        <w:r w:rsidRPr="00AB6DF9">
          <w:rPr>
            <w:rStyle w:val="PageNumber"/>
            <w:b/>
            <w:bCs/>
            <w:i/>
            <w:iCs/>
            <w:color w:val="000000" w:themeColor="text1"/>
            <w:sz w:val="20"/>
            <w:szCs w:val="20"/>
          </w:rPr>
          <w:fldChar w:fldCharType="separate"/>
        </w:r>
        <w:r w:rsidRPr="00AB6DF9">
          <w:rPr>
            <w:rStyle w:val="PageNumber"/>
            <w:b/>
            <w:bCs/>
            <w:iCs/>
            <w:noProof/>
            <w:color w:val="000000" w:themeColor="text1"/>
            <w:sz w:val="20"/>
            <w:szCs w:val="20"/>
          </w:rPr>
          <w:t>2</w:t>
        </w:r>
        <w:r w:rsidRPr="00AB6DF9">
          <w:rPr>
            <w:rStyle w:val="PageNumber"/>
            <w:b/>
            <w:bCs/>
            <w:i/>
            <w:iCs/>
            <w:color w:val="000000" w:themeColor="text1"/>
            <w:sz w:val="20"/>
            <w:szCs w:val="20"/>
          </w:rPr>
          <w:fldChar w:fldCharType="end"/>
        </w:r>
      </w:p>
    </w:sdtContent>
  </w:sdt>
  <w:p w14:paraId="7945BC1B" w14:textId="77777777" w:rsidR="00000000" w:rsidRDefault="00000000" w:rsidP="001D6B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D1E4C" w14:textId="77777777" w:rsidR="0088658D" w:rsidRDefault="0088658D">
      <w:pPr>
        <w:spacing w:before="0" w:after="0"/>
      </w:pPr>
      <w:r>
        <w:separator/>
      </w:r>
    </w:p>
  </w:footnote>
  <w:footnote w:type="continuationSeparator" w:id="0">
    <w:p w14:paraId="37A27FF1" w14:textId="77777777" w:rsidR="0088658D" w:rsidRDefault="0088658D">
      <w:pPr>
        <w:spacing w:before="0" w:after="0"/>
      </w:pPr>
      <w:r>
        <w:continuationSeparator/>
      </w:r>
    </w:p>
  </w:footnote>
  <w:footnote w:id="1">
    <w:p w14:paraId="5A84F99E" w14:textId="2C7E9B18" w:rsidR="00661D75" w:rsidRPr="00661D75" w:rsidRDefault="00661D75">
      <w:pPr>
        <w:pStyle w:val="FootnoteText"/>
        <w:rPr>
          <w:lang w:val="en-GB"/>
        </w:rPr>
      </w:pPr>
      <w:r>
        <w:rPr>
          <w:rStyle w:val="FootnoteReference"/>
        </w:rPr>
        <w:footnoteRef/>
      </w:r>
      <w:r>
        <w:t xml:space="preserve"> </w:t>
      </w:r>
      <w:r w:rsidRPr="00661D75">
        <w:t>KNBS, Nov 2021</w:t>
      </w:r>
    </w:p>
  </w:footnote>
  <w:footnote w:id="2">
    <w:p w14:paraId="061B8702" w14:textId="77777777" w:rsidR="00134E51" w:rsidRPr="00B964A0" w:rsidRDefault="00134E51" w:rsidP="00134E51">
      <w:pPr>
        <w:pStyle w:val="FootnoteText"/>
        <w:rPr>
          <w:sz w:val="16"/>
          <w:szCs w:val="16"/>
        </w:rPr>
      </w:pPr>
      <w:r w:rsidRPr="00B964A0">
        <w:rPr>
          <w:rStyle w:val="FootnoteReference"/>
          <w:sz w:val="16"/>
          <w:szCs w:val="16"/>
        </w:rPr>
        <w:footnoteRef/>
      </w:r>
      <w:r w:rsidRPr="00B964A0">
        <w:rPr>
          <w:sz w:val="16"/>
          <w:szCs w:val="16"/>
        </w:rPr>
        <w:t xml:space="preserve"> Daniel Maxwell, Richard Caldwell. The Coping Strategies Index: Field Methods Manual 2nd Edition, January 2008. </w:t>
      </w:r>
    </w:p>
  </w:footnote>
  <w:footnote w:id="3">
    <w:p w14:paraId="69170B5A" w14:textId="77777777" w:rsidR="00134E51" w:rsidRPr="00B964A0" w:rsidRDefault="00134E51" w:rsidP="00134E51">
      <w:pPr>
        <w:rPr>
          <w:sz w:val="16"/>
          <w:szCs w:val="16"/>
        </w:rPr>
      </w:pPr>
      <w:r w:rsidRPr="00B964A0">
        <w:rPr>
          <w:rStyle w:val="FootnoteReference"/>
          <w:sz w:val="16"/>
          <w:szCs w:val="16"/>
        </w:rPr>
        <w:footnoteRef/>
      </w:r>
      <w:r w:rsidRPr="00B964A0">
        <w:rPr>
          <w:sz w:val="16"/>
          <w:szCs w:val="16"/>
        </w:rPr>
        <w:t xml:space="preserve"> Ballard, Terri; Coates, Jennifer; Swindale, Anne; and Deitchler, Megan. Household Hunger Scale: Indicator Definition and Measurement Guide. Washington, DC: Food and Nutrition Technical Assistance II Project, FHI 360, August 2011.</w:t>
      </w:r>
    </w:p>
  </w:footnote>
  <w:footnote w:id="4">
    <w:p w14:paraId="341B5B4E" w14:textId="77777777" w:rsidR="00134E51" w:rsidRPr="00B964A0" w:rsidRDefault="00134E51" w:rsidP="00134E51">
      <w:pPr>
        <w:pStyle w:val="FootnoteText"/>
        <w:tabs>
          <w:tab w:val="left" w:pos="7879"/>
        </w:tabs>
        <w:rPr>
          <w:sz w:val="16"/>
          <w:szCs w:val="16"/>
        </w:rPr>
      </w:pPr>
      <w:r w:rsidRPr="00B964A0">
        <w:rPr>
          <w:rStyle w:val="FootnoteReference"/>
          <w:sz w:val="16"/>
          <w:szCs w:val="16"/>
        </w:rPr>
        <w:footnoteRef/>
      </w:r>
      <w:r w:rsidRPr="00B964A0">
        <w:rPr>
          <w:sz w:val="16"/>
          <w:szCs w:val="16"/>
        </w:rPr>
        <w:t xml:space="preserve"> Calculation and use of the food consumption score in food security analysis, UNWFP, 2008.</w:t>
      </w:r>
      <w:r w:rsidRPr="00B964A0">
        <w:rPr>
          <w:sz w:val="16"/>
          <w:szCs w:val="16"/>
        </w:rPr>
        <w:tab/>
      </w:r>
    </w:p>
  </w:footnote>
  <w:footnote w:id="5">
    <w:p w14:paraId="188A907C" w14:textId="77777777" w:rsidR="00134E51" w:rsidRPr="00656A3C" w:rsidRDefault="00134E51" w:rsidP="00134E51">
      <w:pPr>
        <w:pStyle w:val="FootnoteText"/>
        <w:rPr>
          <w:sz w:val="16"/>
          <w:szCs w:val="16"/>
          <w:lang w:val="en-US"/>
        </w:rPr>
      </w:pPr>
      <w:r w:rsidRPr="00656A3C">
        <w:rPr>
          <w:rStyle w:val="FootnoteReference"/>
          <w:sz w:val="16"/>
          <w:szCs w:val="16"/>
        </w:rPr>
        <w:footnoteRef/>
      </w:r>
      <w:r w:rsidRPr="00656A3C">
        <w:rPr>
          <w:sz w:val="16"/>
          <w:szCs w:val="16"/>
        </w:rPr>
        <w:t xml:space="preserve"> World Health Organization &amp; United Nations Children's Fund (‎UNICEF)‎. (‎2021)‎. Indicators for assessing infant and young child feeding practices: definitions and measurement methods. World Health Organization.</w:t>
      </w:r>
    </w:p>
  </w:footnote>
  <w:footnote w:id="6">
    <w:p w14:paraId="044DC328" w14:textId="61437043" w:rsidR="006044F0" w:rsidRPr="006044F0" w:rsidRDefault="006044F0">
      <w:pPr>
        <w:pStyle w:val="FootnoteText"/>
        <w:rPr>
          <w:lang w:val="en-GB"/>
        </w:rPr>
      </w:pPr>
      <w:r>
        <w:rPr>
          <w:rStyle w:val="FootnoteReference"/>
        </w:rPr>
        <w:footnoteRef/>
      </w:r>
      <w:r>
        <w:t xml:space="preserve"> </w:t>
      </w:r>
      <w:r w:rsidRPr="006044F0">
        <w:t>WFP 2008. Coping Strategies Index: Field Methods Manual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C900BA9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11FEB15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6CF80910"/>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2A357EF"/>
    <w:multiLevelType w:val="multilevel"/>
    <w:tmpl w:val="88245A52"/>
    <w:styleLink w:val="CurrentList10"/>
    <w:lvl w:ilvl="0">
      <w:start w:val="1"/>
      <w:numFmt w:val="decimal"/>
      <w:lvlText w:val="%1."/>
      <w:lvlJc w:val="left"/>
      <w:pPr>
        <w:ind w:left="354" w:hanging="360"/>
      </w:pPr>
      <w:rPr>
        <w:rFonts w:hint="default"/>
      </w:rPr>
    </w:lvl>
    <w:lvl w:ilvl="1">
      <w:start w:val="1"/>
      <w:numFmt w:val="decimal"/>
      <w:lvlText w:val="%1.%2."/>
      <w:lvlJc w:val="left"/>
      <w:pPr>
        <w:ind w:left="786" w:hanging="432"/>
      </w:pPr>
      <w:rPr>
        <w:rFonts w:hint="default"/>
      </w:rPr>
    </w:lvl>
    <w:lvl w:ilvl="2">
      <w:start w:val="1"/>
      <w:numFmt w:val="decimal"/>
      <w:lvlText w:val="%1.%2.%3."/>
      <w:lvlJc w:val="left"/>
      <w:pPr>
        <w:ind w:left="1218"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4" w15:restartNumberingAfterBreak="0">
    <w:nsid w:val="02F35A0B"/>
    <w:multiLevelType w:val="hybridMultilevel"/>
    <w:tmpl w:val="555AAECA"/>
    <w:lvl w:ilvl="0" w:tplc="FFFFFFFF">
      <w:start w:val="1"/>
      <w:numFmt w:val="lowerLetter"/>
      <w:lvlText w:val="%1)"/>
      <w:lvlJc w:val="left"/>
      <w:pPr>
        <w:ind w:left="720" w:hanging="360"/>
      </w:pPr>
      <w:rPr>
        <w:b w:val="0"/>
        <w:bCs w:val="0"/>
      </w:rPr>
    </w:lvl>
    <w:lvl w:ilvl="1" w:tplc="2000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DF3D8B"/>
    <w:multiLevelType w:val="hybridMultilevel"/>
    <w:tmpl w:val="9518455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10F2AE0"/>
    <w:multiLevelType w:val="multilevel"/>
    <w:tmpl w:val="7C9869B4"/>
    <w:styleLink w:val="CurrentList3"/>
    <w:lvl w:ilvl="0">
      <w:start w:val="1"/>
      <w:numFmt w:val="decimal"/>
      <w:lvlText w:val="%1."/>
      <w:lvlJc w:val="left"/>
      <w:pPr>
        <w:ind w:left="350" w:hanging="360"/>
      </w:pPr>
    </w:lvl>
    <w:lvl w:ilvl="1">
      <w:start w:val="1"/>
      <w:numFmt w:val="decimal"/>
      <w:lvlText w:val="%1.%2."/>
      <w:lvlJc w:val="left"/>
      <w:pPr>
        <w:ind w:left="782" w:hanging="432"/>
      </w:pPr>
    </w:lvl>
    <w:lvl w:ilvl="2">
      <w:start w:val="1"/>
      <w:numFmt w:val="decimal"/>
      <w:lvlText w:val="%1.%2.%3."/>
      <w:lvlJc w:val="left"/>
      <w:pPr>
        <w:ind w:left="1214" w:hanging="504"/>
      </w:pPr>
    </w:lvl>
    <w:lvl w:ilvl="3">
      <w:start w:val="1"/>
      <w:numFmt w:val="decimal"/>
      <w:lvlText w:val="%1.%2.%3.%4."/>
      <w:lvlJc w:val="left"/>
      <w:pPr>
        <w:ind w:left="1718" w:hanging="648"/>
      </w:pPr>
    </w:lvl>
    <w:lvl w:ilvl="4">
      <w:start w:val="1"/>
      <w:numFmt w:val="decimal"/>
      <w:lvlText w:val="%1.%2.%3.%4.%5."/>
      <w:lvlJc w:val="left"/>
      <w:pPr>
        <w:ind w:left="2222" w:hanging="792"/>
      </w:pPr>
    </w:lvl>
    <w:lvl w:ilvl="5">
      <w:start w:val="1"/>
      <w:numFmt w:val="decimal"/>
      <w:lvlText w:val="%1.%2.%3.%4.%5.%6."/>
      <w:lvlJc w:val="left"/>
      <w:pPr>
        <w:ind w:left="2726" w:hanging="936"/>
      </w:pPr>
    </w:lvl>
    <w:lvl w:ilvl="6">
      <w:start w:val="1"/>
      <w:numFmt w:val="decimal"/>
      <w:lvlText w:val="%1.%2.%3.%4.%5.%6.%7."/>
      <w:lvlJc w:val="left"/>
      <w:pPr>
        <w:ind w:left="3230" w:hanging="1080"/>
      </w:pPr>
    </w:lvl>
    <w:lvl w:ilvl="7">
      <w:start w:val="1"/>
      <w:numFmt w:val="decimal"/>
      <w:lvlText w:val="%1.%2.%3.%4.%5.%6.%7.%8."/>
      <w:lvlJc w:val="left"/>
      <w:pPr>
        <w:ind w:left="3734" w:hanging="1224"/>
      </w:pPr>
    </w:lvl>
    <w:lvl w:ilvl="8">
      <w:start w:val="1"/>
      <w:numFmt w:val="decimal"/>
      <w:lvlText w:val="%1.%2.%3.%4.%5.%6.%7.%8.%9."/>
      <w:lvlJc w:val="left"/>
      <w:pPr>
        <w:ind w:left="4310" w:hanging="1440"/>
      </w:pPr>
    </w:lvl>
  </w:abstractNum>
  <w:abstractNum w:abstractNumId="7" w15:restartNumberingAfterBreak="0">
    <w:nsid w:val="193249F1"/>
    <w:multiLevelType w:val="multilevel"/>
    <w:tmpl w:val="0409001D"/>
    <w:styleLink w:val="CurrentList1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44E7A8D"/>
    <w:multiLevelType w:val="hybridMultilevel"/>
    <w:tmpl w:val="672EEE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9E32984"/>
    <w:multiLevelType w:val="multilevel"/>
    <w:tmpl w:val="F09045DC"/>
    <w:lvl w:ilvl="0">
      <w:start w:val="1"/>
      <w:numFmt w:val="decimal"/>
      <w:pStyle w:val="Heading1"/>
      <w:lvlText w:val="%1."/>
      <w:lvlJc w:val="left"/>
      <w:pPr>
        <w:ind w:left="354" w:hanging="360"/>
      </w:pPr>
      <w:rPr>
        <w:rFonts w:hint="default"/>
      </w:rPr>
    </w:lvl>
    <w:lvl w:ilvl="1">
      <w:start w:val="1"/>
      <w:numFmt w:val="decimal"/>
      <w:pStyle w:val="Heading2"/>
      <w:lvlText w:val="%1.%2."/>
      <w:lvlJc w:val="left"/>
      <w:pPr>
        <w:ind w:left="786" w:hanging="432"/>
      </w:pPr>
      <w:rPr>
        <w:rFonts w:hint="default"/>
        <w:i w:val="0"/>
        <w:iCs/>
      </w:rPr>
    </w:lvl>
    <w:lvl w:ilvl="2">
      <w:start w:val="1"/>
      <w:numFmt w:val="decimal"/>
      <w:pStyle w:val="Heading3"/>
      <w:lvlText w:val="%1.%2.%3."/>
      <w:lvlJc w:val="left"/>
      <w:pPr>
        <w:ind w:left="1072"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10" w15:restartNumberingAfterBreak="0">
    <w:nsid w:val="2EA77614"/>
    <w:multiLevelType w:val="multilevel"/>
    <w:tmpl w:val="3AA4F98E"/>
    <w:styleLink w:val="CurrentList9"/>
    <w:lvl w:ilvl="0">
      <w:start w:val="1"/>
      <w:numFmt w:val="decimal"/>
      <w:lvlText w:val="%1."/>
      <w:lvlJc w:val="left"/>
      <w:pPr>
        <w:ind w:left="354" w:hanging="360"/>
      </w:pPr>
      <w:rPr>
        <w:rFonts w:hint="default"/>
      </w:rPr>
    </w:lvl>
    <w:lvl w:ilvl="1">
      <w:start w:val="1"/>
      <w:numFmt w:val="decimal"/>
      <w:lvlText w:val="%1.%2."/>
      <w:lvlJc w:val="left"/>
      <w:pPr>
        <w:ind w:left="786" w:hanging="432"/>
      </w:pPr>
      <w:rPr>
        <w:rFonts w:hint="default"/>
      </w:rPr>
    </w:lvl>
    <w:lvl w:ilvl="2">
      <w:start w:val="1"/>
      <w:numFmt w:val="decimal"/>
      <w:lvlText w:val="%1.%2.%3."/>
      <w:lvlJc w:val="left"/>
      <w:pPr>
        <w:ind w:left="1218"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11" w15:restartNumberingAfterBreak="0">
    <w:nsid w:val="2F756033"/>
    <w:multiLevelType w:val="multilevel"/>
    <w:tmpl w:val="AE80DC9C"/>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9A19AF"/>
    <w:multiLevelType w:val="multilevel"/>
    <w:tmpl w:val="7B3C10E8"/>
    <w:styleLink w:val="CurrentList7"/>
    <w:lvl w:ilvl="0">
      <w:start w:val="1"/>
      <w:numFmt w:val="decimal"/>
      <w:lvlText w:val="%1."/>
      <w:lvlJc w:val="left"/>
      <w:pPr>
        <w:ind w:left="354" w:hanging="360"/>
      </w:pPr>
      <w:rPr>
        <w:rFonts w:hint="default"/>
      </w:rPr>
    </w:lvl>
    <w:lvl w:ilvl="1">
      <w:start w:val="1"/>
      <w:numFmt w:val="decimal"/>
      <w:lvlText w:val="%1.%2."/>
      <w:lvlJc w:val="left"/>
      <w:pPr>
        <w:ind w:left="786" w:hanging="432"/>
      </w:pPr>
      <w:rPr>
        <w:rFonts w:hint="default"/>
      </w:rPr>
    </w:lvl>
    <w:lvl w:ilvl="2">
      <w:start w:val="1"/>
      <w:numFmt w:val="decimal"/>
      <w:lvlText w:val="%1.%2.%3."/>
      <w:lvlJc w:val="left"/>
      <w:pPr>
        <w:ind w:left="1218"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13" w15:restartNumberingAfterBreak="0">
    <w:nsid w:val="35355D88"/>
    <w:multiLevelType w:val="hybridMultilevel"/>
    <w:tmpl w:val="13F4C92C"/>
    <w:lvl w:ilvl="0" w:tplc="2000001B">
      <w:start w:val="1"/>
      <w:numFmt w:val="lowerRoman"/>
      <w:lvlText w:val="%1."/>
      <w:lvlJc w:val="right"/>
      <w:pPr>
        <w:ind w:left="720" w:hanging="360"/>
      </w:pPr>
      <w:rPr>
        <w:b w:val="0"/>
        <w:bCs w:val="0"/>
      </w:rPr>
    </w:lvl>
    <w:lvl w:ilvl="1" w:tplc="87B80CE4">
      <w:start w:val="1"/>
      <w:numFmt w:val="lowerRoman"/>
      <w:lvlText w:val="%2."/>
      <w:lvlJc w:val="right"/>
      <w:pPr>
        <w:ind w:left="1440" w:hanging="360"/>
      </w:pPr>
      <w:rPr>
        <w:b w:val="0"/>
        <w:bCs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69E07C3"/>
    <w:multiLevelType w:val="hybridMultilevel"/>
    <w:tmpl w:val="47DE64FE"/>
    <w:lvl w:ilvl="0" w:tplc="D316A270">
      <w:start w:val="1"/>
      <w:numFmt w:val="lowerLetter"/>
      <w:lvlText w:val="%1)"/>
      <w:lvlJc w:val="left"/>
      <w:pPr>
        <w:ind w:left="720" w:hanging="360"/>
      </w:pPr>
      <w:rPr>
        <w:rFonts w:ascii="Nexa Light" w:hAnsi="Nexa Light"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7700733"/>
    <w:multiLevelType w:val="hybridMultilevel"/>
    <w:tmpl w:val="B0900F02"/>
    <w:lvl w:ilvl="0" w:tplc="31B2E49A">
      <w:start w:val="1"/>
      <w:numFmt w:val="decimal"/>
      <w:pStyle w:val="H1letter"/>
      <w:lvlText w:val="Annex %1 -"/>
      <w:lvlJc w:val="left"/>
      <w:pPr>
        <w:ind w:left="284" w:hanging="360"/>
      </w:pPr>
      <w:rPr>
        <w:rFonts w:hint="default"/>
        <w:i w:val="0"/>
        <w:iCs/>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16" w15:restartNumberingAfterBreak="0">
    <w:nsid w:val="3A977920"/>
    <w:multiLevelType w:val="multilevel"/>
    <w:tmpl w:val="BB44C2E6"/>
    <w:styleLink w:val="CurrentList4"/>
    <w:lvl w:ilvl="0">
      <w:start w:val="1"/>
      <w:numFmt w:val="decimal"/>
      <w:lvlText w:val="%1."/>
      <w:lvlJc w:val="left"/>
      <w:pPr>
        <w:ind w:left="-6" w:hanging="360"/>
      </w:pPr>
      <w:rPr>
        <w:rFonts w:hint="default"/>
      </w:rPr>
    </w:lvl>
    <w:lvl w:ilvl="1">
      <w:start w:val="1"/>
      <w:numFmt w:val="decimal"/>
      <w:lvlText w:val="%1.%2."/>
      <w:lvlJc w:val="left"/>
      <w:pPr>
        <w:ind w:left="426" w:hanging="432"/>
      </w:pPr>
      <w:rPr>
        <w:rFonts w:hint="default"/>
      </w:rPr>
    </w:lvl>
    <w:lvl w:ilvl="2">
      <w:start w:val="1"/>
      <w:numFmt w:val="decimal"/>
      <w:lvlText w:val="%1.%2.%3."/>
      <w:lvlJc w:val="left"/>
      <w:pPr>
        <w:ind w:left="858" w:hanging="504"/>
      </w:pPr>
      <w:rPr>
        <w:rFonts w:hint="default"/>
      </w:rPr>
    </w:lvl>
    <w:lvl w:ilvl="3">
      <w:start w:val="1"/>
      <w:numFmt w:val="decimal"/>
      <w:lvlText w:val="%1.%2.%3.%4."/>
      <w:lvlJc w:val="left"/>
      <w:pPr>
        <w:ind w:left="1362" w:hanging="648"/>
      </w:pPr>
      <w:rPr>
        <w:rFonts w:hint="default"/>
      </w:rPr>
    </w:lvl>
    <w:lvl w:ilvl="4">
      <w:start w:val="1"/>
      <w:numFmt w:val="decimal"/>
      <w:lvlText w:val="%1.%2.%3.%4.%5."/>
      <w:lvlJc w:val="left"/>
      <w:pPr>
        <w:ind w:left="1866" w:hanging="792"/>
      </w:pPr>
      <w:rPr>
        <w:rFonts w:hint="default"/>
      </w:rPr>
    </w:lvl>
    <w:lvl w:ilvl="5">
      <w:start w:val="1"/>
      <w:numFmt w:val="decimal"/>
      <w:lvlText w:val="%1.%2.%3.%4.%5.%6."/>
      <w:lvlJc w:val="left"/>
      <w:pPr>
        <w:ind w:left="2370" w:hanging="936"/>
      </w:pPr>
      <w:rPr>
        <w:rFonts w:hint="default"/>
      </w:rPr>
    </w:lvl>
    <w:lvl w:ilvl="6">
      <w:start w:val="1"/>
      <w:numFmt w:val="decimal"/>
      <w:lvlText w:val="%1.%2.%3.%4.%5.%6.%7."/>
      <w:lvlJc w:val="left"/>
      <w:pPr>
        <w:ind w:left="2874" w:hanging="1080"/>
      </w:pPr>
      <w:rPr>
        <w:rFonts w:hint="default"/>
      </w:rPr>
    </w:lvl>
    <w:lvl w:ilvl="7">
      <w:start w:val="1"/>
      <w:numFmt w:val="decimal"/>
      <w:lvlText w:val="%1.%2.%3.%4.%5.%6.%7.%8."/>
      <w:lvlJc w:val="left"/>
      <w:pPr>
        <w:ind w:left="3378" w:hanging="1224"/>
      </w:pPr>
      <w:rPr>
        <w:rFonts w:hint="default"/>
      </w:rPr>
    </w:lvl>
    <w:lvl w:ilvl="8">
      <w:start w:val="1"/>
      <w:numFmt w:val="decimal"/>
      <w:lvlText w:val="%1.%2.%3.%4.%5.%6.%7.%8.%9."/>
      <w:lvlJc w:val="left"/>
      <w:pPr>
        <w:ind w:left="3954" w:hanging="1440"/>
      </w:pPr>
      <w:rPr>
        <w:rFonts w:hint="default"/>
      </w:rPr>
    </w:lvl>
  </w:abstractNum>
  <w:abstractNum w:abstractNumId="17" w15:restartNumberingAfterBreak="0">
    <w:nsid w:val="410C22EE"/>
    <w:multiLevelType w:val="multilevel"/>
    <w:tmpl w:val="3008075E"/>
    <w:styleLink w:val="CurrentList6"/>
    <w:lvl w:ilvl="0">
      <w:start w:val="1"/>
      <w:numFmt w:val="decimal"/>
      <w:lvlText w:val="%1."/>
      <w:lvlJc w:val="left"/>
      <w:pPr>
        <w:ind w:left="354" w:hanging="360"/>
      </w:pPr>
      <w:rPr>
        <w:rFonts w:hint="default"/>
      </w:rPr>
    </w:lvl>
    <w:lvl w:ilvl="1">
      <w:start w:val="1"/>
      <w:numFmt w:val="decimal"/>
      <w:lvlRestart w:val="0"/>
      <w:lvlText w:val="%1.%2."/>
      <w:lvlJc w:val="left"/>
      <w:pPr>
        <w:ind w:left="786" w:hanging="432"/>
      </w:pPr>
      <w:rPr>
        <w:rFonts w:hint="default"/>
      </w:rPr>
    </w:lvl>
    <w:lvl w:ilvl="2">
      <w:start w:val="1"/>
      <w:numFmt w:val="decimal"/>
      <w:lvlText w:val="%1.%2.%3."/>
      <w:lvlJc w:val="left"/>
      <w:pPr>
        <w:ind w:left="1218"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18" w15:restartNumberingAfterBreak="0">
    <w:nsid w:val="42934B51"/>
    <w:multiLevelType w:val="multilevel"/>
    <w:tmpl w:val="3050CD5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A9229E"/>
    <w:multiLevelType w:val="hybridMultilevel"/>
    <w:tmpl w:val="4FCCDA1A"/>
    <w:lvl w:ilvl="0" w:tplc="81C4E2F2">
      <w:start w:val="1"/>
      <w:numFmt w:val="lowerLetter"/>
      <w:lvlText w:val="%1)"/>
      <w:lvlJc w:val="left"/>
      <w:pPr>
        <w:ind w:left="720" w:hanging="360"/>
      </w:pPr>
      <w:rPr>
        <w:b w:val="0"/>
        <w:bCs w:val="0"/>
        <w:i w:val="0"/>
        <w:iCs w:val="0"/>
      </w:r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3E62263"/>
    <w:multiLevelType w:val="hybridMultilevel"/>
    <w:tmpl w:val="EC088D5C"/>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F4A1D3E"/>
    <w:multiLevelType w:val="multilevel"/>
    <w:tmpl w:val="2C40EE26"/>
    <w:lvl w:ilvl="0">
      <w:start w:val="1"/>
      <w:numFmt w:val="decimal"/>
      <w:lvlText w:val="%1."/>
      <w:lvlJc w:val="left"/>
      <w:pPr>
        <w:ind w:left="350" w:hanging="360"/>
      </w:pPr>
      <w:rPr>
        <w:rFonts w:hint="default"/>
      </w:rPr>
    </w:lvl>
    <w:lvl w:ilvl="1">
      <w:start w:val="1"/>
      <w:numFmt w:val="decimal"/>
      <w:lvlText w:val="%1.%2."/>
      <w:lvlJc w:val="left"/>
      <w:pPr>
        <w:ind w:left="78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18" w:hanging="648"/>
      </w:pPr>
      <w:rPr>
        <w:rFonts w:hint="default"/>
      </w:rPr>
    </w:lvl>
    <w:lvl w:ilvl="4">
      <w:start w:val="1"/>
      <w:numFmt w:val="decimal"/>
      <w:lvlText w:val="%1.%2.%3.%4.%5."/>
      <w:lvlJc w:val="left"/>
      <w:pPr>
        <w:ind w:left="2222" w:hanging="792"/>
      </w:pPr>
      <w:rPr>
        <w:rFonts w:hint="default"/>
      </w:rPr>
    </w:lvl>
    <w:lvl w:ilvl="5">
      <w:start w:val="1"/>
      <w:numFmt w:val="decimal"/>
      <w:lvlText w:val="%1.%2.%3.%4.%5.%6."/>
      <w:lvlJc w:val="left"/>
      <w:pPr>
        <w:ind w:left="2726" w:hanging="936"/>
      </w:pPr>
      <w:rPr>
        <w:rFonts w:hint="default"/>
      </w:rPr>
    </w:lvl>
    <w:lvl w:ilvl="6">
      <w:start w:val="1"/>
      <w:numFmt w:val="decimal"/>
      <w:lvlText w:val="%1.%2.%3.%4.%5.%6.%7."/>
      <w:lvlJc w:val="left"/>
      <w:pPr>
        <w:ind w:left="3230" w:hanging="1080"/>
      </w:pPr>
      <w:rPr>
        <w:rFonts w:hint="default"/>
      </w:rPr>
    </w:lvl>
    <w:lvl w:ilvl="7">
      <w:start w:val="1"/>
      <w:numFmt w:val="decimal"/>
      <w:lvlText w:val="%1.%2.%3.%4.%5.%6.%7.%8."/>
      <w:lvlJc w:val="left"/>
      <w:pPr>
        <w:ind w:left="3734" w:hanging="1224"/>
      </w:pPr>
      <w:rPr>
        <w:rFonts w:hint="default"/>
      </w:rPr>
    </w:lvl>
    <w:lvl w:ilvl="8">
      <w:start w:val="1"/>
      <w:numFmt w:val="decimal"/>
      <w:lvlText w:val="%1.%2.%3.%4.%5.%6.%7.%8.%9."/>
      <w:lvlJc w:val="left"/>
      <w:pPr>
        <w:ind w:left="4310" w:hanging="1440"/>
      </w:pPr>
      <w:rPr>
        <w:rFonts w:hint="default"/>
      </w:rPr>
    </w:lvl>
  </w:abstractNum>
  <w:abstractNum w:abstractNumId="22" w15:restartNumberingAfterBreak="0">
    <w:nsid w:val="51A90D86"/>
    <w:multiLevelType w:val="multilevel"/>
    <w:tmpl w:val="15E2F97E"/>
    <w:styleLink w:val="CurrentList11"/>
    <w:lvl w:ilvl="0">
      <w:start w:val="1"/>
      <w:numFmt w:val="upperLetter"/>
      <w:lvlText w:val="%1."/>
      <w:lvlJc w:val="left"/>
      <w:pPr>
        <w:ind w:left="714" w:hanging="360"/>
      </w:pPr>
    </w:lvl>
    <w:lvl w:ilvl="1">
      <w:start w:val="1"/>
      <w:numFmt w:val="lowerLetter"/>
      <w:lvlText w:val="%2."/>
      <w:lvlJc w:val="left"/>
      <w:pPr>
        <w:ind w:left="1434" w:hanging="360"/>
      </w:pPr>
    </w:lvl>
    <w:lvl w:ilvl="2">
      <w:start w:val="1"/>
      <w:numFmt w:val="lowerRoman"/>
      <w:lvlText w:val="%3."/>
      <w:lvlJc w:val="right"/>
      <w:pPr>
        <w:ind w:left="2154" w:hanging="180"/>
      </w:pPr>
    </w:lvl>
    <w:lvl w:ilvl="3">
      <w:start w:val="1"/>
      <w:numFmt w:val="decimal"/>
      <w:lvlText w:val="%4."/>
      <w:lvlJc w:val="left"/>
      <w:pPr>
        <w:ind w:left="2874" w:hanging="360"/>
      </w:pPr>
    </w:lvl>
    <w:lvl w:ilvl="4">
      <w:start w:val="1"/>
      <w:numFmt w:val="lowerLetter"/>
      <w:lvlText w:val="%5."/>
      <w:lvlJc w:val="left"/>
      <w:pPr>
        <w:ind w:left="3594" w:hanging="360"/>
      </w:pPr>
    </w:lvl>
    <w:lvl w:ilvl="5">
      <w:start w:val="1"/>
      <w:numFmt w:val="lowerRoman"/>
      <w:lvlText w:val="%6."/>
      <w:lvlJc w:val="right"/>
      <w:pPr>
        <w:ind w:left="4314" w:hanging="180"/>
      </w:pPr>
    </w:lvl>
    <w:lvl w:ilvl="6">
      <w:start w:val="1"/>
      <w:numFmt w:val="decimal"/>
      <w:lvlText w:val="%7."/>
      <w:lvlJc w:val="left"/>
      <w:pPr>
        <w:ind w:left="5034" w:hanging="360"/>
      </w:pPr>
    </w:lvl>
    <w:lvl w:ilvl="7">
      <w:start w:val="1"/>
      <w:numFmt w:val="lowerLetter"/>
      <w:lvlText w:val="%8."/>
      <w:lvlJc w:val="left"/>
      <w:pPr>
        <w:ind w:left="5754" w:hanging="360"/>
      </w:pPr>
    </w:lvl>
    <w:lvl w:ilvl="8">
      <w:start w:val="1"/>
      <w:numFmt w:val="lowerRoman"/>
      <w:lvlText w:val="%9."/>
      <w:lvlJc w:val="right"/>
      <w:pPr>
        <w:ind w:left="6474" w:hanging="180"/>
      </w:pPr>
    </w:lvl>
  </w:abstractNum>
  <w:abstractNum w:abstractNumId="23" w15:restartNumberingAfterBreak="0">
    <w:nsid w:val="51B1345B"/>
    <w:multiLevelType w:val="hybridMultilevel"/>
    <w:tmpl w:val="9FB8E9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5D4E3BE5"/>
    <w:multiLevelType w:val="multilevel"/>
    <w:tmpl w:val="0E44B30C"/>
    <w:styleLink w:val="CurrentList5"/>
    <w:lvl w:ilvl="0">
      <w:start w:val="1"/>
      <w:numFmt w:val="decimal"/>
      <w:lvlText w:val="%1."/>
      <w:lvlJc w:val="left"/>
      <w:pPr>
        <w:ind w:left="354" w:hanging="360"/>
      </w:pPr>
      <w:rPr>
        <w:rFonts w:hint="default"/>
      </w:rPr>
    </w:lvl>
    <w:lvl w:ilvl="1">
      <w:start w:val="1"/>
      <w:numFmt w:val="decimal"/>
      <w:lvlText w:val="%1.%2."/>
      <w:lvlJc w:val="left"/>
      <w:pPr>
        <w:ind w:left="786" w:hanging="432"/>
      </w:pPr>
      <w:rPr>
        <w:rFonts w:hint="default"/>
      </w:rPr>
    </w:lvl>
    <w:lvl w:ilvl="2">
      <w:start w:val="1"/>
      <w:numFmt w:val="decimal"/>
      <w:lvlText w:val="%1.%2.%3."/>
      <w:lvlJc w:val="left"/>
      <w:pPr>
        <w:ind w:left="1218"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25" w15:restartNumberingAfterBreak="0">
    <w:nsid w:val="5DAF52E6"/>
    <w:multiLevelType w:val="multilevel"/>
    <w:tmpl w:val="7B3C10E8"/>
    <w:styleLink w:val="CurrentList8"/>
    <w:lvl w:ilvl="0">
      <w:start w:val="1"/>
      <w:numFmt w:val="decimal"/>
      <w:lvlText w:val="%1."/>
      <w:lvlJc w:val="left"/>
      <w:pPr>
        <w:ind w:left="354" w:hanging="360"/>
      </w:pPr>
      <w:rPr>
        <w:rFonts w:hint="default"/>
      </w:rPr>
    </w:lvl>
    <w:lvl w:ilvl="1">
      <w:start w:val="1"/>
      <w:numFmt w:val="decimal"/>
      <w:lvlText w:val="%1.%2."/>
      <w:lvlJc w:val="left"/>
      <w:pPr>
        <w:ind w:left="786" w:hanging="432"/>
      </w:pPr>
      <w:rPr>
        <w:rFonts w:hint="default"/>
      </w:rPr>
    </w:lvl>
    <w:lvl w:ilvl="2">
      <w:start w:val="1"/>
      <w:numFmt w:val="decimal"/>
      <w:lvlText w:val="%1.%2.%3."/>
      <w:lvlJc w:val="left"/>
      <w:pPr>
        <w:ind w:left="1218" w:hanging="504"/>
      </w:pPr>
      <w:rPr>
        <w:rFonts w:hint="default"/>
      </w:rPr>
    </w:lvl>
    <w:lvl w:ilvl="3">
      <w:start w:val="1"/>
      <w:numFmt w:val="decimal"/>
      <w:lvlText w:val="%1.%2.%3.%4."/>
      <w:lvlJc w:val="left"/>
      <w:pPr>
        <w:ind w:left="1722" w:hanging="648"/>
      </w:pPr>
      <w:rPr>
        <w:rFonts w:hint="default"/>
      </w:rPr>
    </w:lvl>
    <w:lvl w:ilvl="4">
      <w:start w:val="1"/>
      <w:numFmt w:val="decimal"/>
      <w:lvlText w:val="%1.%2.%3.%4.%5."/>
      <w:lvlJc w:val="left"/>
      <w:pPr>
        <w:ind w:left="2226" w:hanging="792"/>
      </w:pPr>
      <w:rPr>
        <w:rFonts w:hint="default"/>
      </w:rPr>
    </w:lvl>
    <w:lvl w:ilvl="5">
      <w:start w:val="1"/>
      <w:numFmt w:val="decimal"/>
      <w:lvlText w:val="%1.%2.%3.%4.%5.%6."/>
      <w:lvlJc w:val="left"/>
      <w:pPr>
        <w:ind w:left="2730" w:hanging="936"/>
      </w:pPr>
      <w:rPr>
        <w:rFonts w:hint="default"/>
      </w:rPr>
    </w:lvl>
    <w:lvl w:ilvl="6">
      <w:start w:val="1"/>
      <w:numFmt w:val="decimal"/>
      <w:lvlText w:val="%1.%2.%3.%4.%5.%6.%7."/>
      <w:lvlJc w:val="left"/>
      <w:pPr>
        <w:ind w:left="3234" w:hanging="1080"/>
      </w:pPr>
      <w:rPr>
        <w:rFonts w:hint="default"/>
      </w:rPr>
    </w:lvl>
    <w:lvl w:ilvl="7">
      <w:start w:val="1"/>
      <w:numFmt w:val="decimal"/>
      <w:lvlText w:val="%1.%2.%3.%4.%5.%6.%7.%8."/>
      <w:lvlJc w:val="left"/>
      <w:pPr>
        <w:ind w:left="3738" w:hanging="1224"/>
      </w:pPr>
      <w:rPr>
        <w:rFonts w:hint="default"/>
      </w:rPr>
    </w:lvl>
    <w:lvl w:ilvl="8">
      <w:start w:val="1"/>
      <w:numFmt w:val="decimal"/>
      <w:lvlText w:val="%1.%2.%3.%4.%5.%6.%7.%8.%9."/>
      <w:lvlJc w:val="left"/>
      <w:pPr>
        <w:ind w:left="4314" w:hanging="1440"/>
      </w:pPr>
      <w:rPr>
        <w:rFonts w:hint="default"/>
      </w:rPr>
    </w:lvl>
  </w:abstractNum>
  <w:abstractNum w:abstractNumId="26" w15:restartNumberingAfterBreak="0">
    <w:nsid w:val="61B5300E"/>
    <w:multiLevelType w:val="hybridMultilevel"/>
    <w:tmpl w:val="1E68D084"/>
    <w:lvl w:ilvl="0" w:tplc="FFFFFFFF">
      <w:start w:val="1"/>
      <w:numFmt w:val="lowerLetter"/>
      <w:lvlText w:val="%1)"/>
      <w:lvlJc w:val="left"/>
      <w:pPr>
        <w:ind w:left="720" w:hanging="360"/>
      </w:pPr>
      <w:rPr>
        <w:b w:val="0"/>
        <w:bCs w:val="0"/>
      </w:rPr>
    </w:lvl>
    <w:lvl w:ilvl="1" w:tplc="2000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8B1AEF"/>
    <w:multiLevelType w:val="multilevel"/>
    <w:tmpl w:val="C1F6A368"/>
    <w:styleLink w:val="CurrentList12"/>
    <w:lvl w:ilvl="0">
      <w:start w:val="1"/>
      <w:numFmt w:val="decimal"/>
      <w:lvlText w:val="Annex %1."/>
      <w:lvlJc w:val="left"/>
      <w:pPr>
        <w:ind w:left="284" w:hanging="360"/>
      </w:pPr>
      <w:rPr>
        <w:rFonts w:hint="default"/>
      </w:rPr>
    </w:lvl>
    <w:lvl w:ilvl="1">
      <w:start w:val="1"/>
      <w:numFmt w:val="lowerLetter"/>
      <w:lvlText w:val="%2."/>
      <w:lvlJc w:val="left"/>
      <w:pPr>
        <w:ind w:left="1434" w:hanging="360"/>
      </w:pPr>
    </w:lvl>
    <w:lvl w:ilvl="2">
      <w:start w:val="1"/>
      <w:numFmt w:val="lowerRoman"/>
      <w:lvlText w:val="%3."/>
      <w:lvlJc w:val="right"/>
      <w:pPr>
        <w:ind w:left="2154" w:hanging="180"/>
      </w:pPr>
    </w:lvl>
    <w:lvl w:ilvl="3">
      <w:start w:val="1"/>
      <w:numFmt w:val="decimal"/>
      <w:lvlText w:val="%4."/>
      <w:lvlJc w:val="left"/>
      <w:pPr>
        <w:ind w:left="2874" w:hanging="360"/>
      </w:pPr>
    </w:lvl>
    <w:lvl w:ilvl="4">
      <w:start w:val="1"/>
      <w:numFmt w:val="lowerLetter"/>
      <w:lvlText w:val="%5."/>
      <w:lvlJc w:val="left"/>
      <w:pPr>
        <w:ind w:left="3594" w:hanging="360"/>
      </w:pPr>
    </w:lvl>
    <w:lvl w:ilvl="5">
      <w:start w:val="1"/>
      <w:numFmt w:val="lowerRoman"/>
      <w:lvlText w:val="%6."/>
      <w:lvlJc w:val="right"/>
      <w:pPr>
        <w:ind w:left="4314" w:hanging="180"/>
      </w:pPr>
    </w:lvl>
    <w:lvl w:ilvl="6">
      <w:start w:val="1"/>
      <w:numFmt w:val="decimal"/>
      <w:lvlText w:val="%7."/>
      <w:lvlJc w:val="left"/>
      <w:pPr>
        <w:ind w:left="5034" w:hanging="360"/>
      </w:pPr>
    </w:lvl>
    <w:lvl w:ilvl="7">
      <w:start w:val="1"/>
      <w:numFmt w:val="lowerLetter"/>
      <w:lvlText w:val="%8."/>
      <w:lvlJc w:val="left"/>
      <w:pPr>
        <w:ind w:left="5754" w:hanging="360"/>
      </w:pPr>
    </w:lvl>
    <w:lvl w:ilvl="8">
      <w:start w:val="1"/>
      <w:numFmt w:val="lowerRoman"/>
      <w:lvlText w:val="%9."/>
      <w:lvlJc w:val="right"/>
      <w:pPr>
        <w:ind w:left="6474" w:hanging="180"/>
      </w:pPr>
    </w:lvl>
  </w:abstractNum>
  <w:abstractNum w:abstractNumId="28" w15:restartNumberingAfterBreak="0">
    <w:nsid w:val="648C1A72"/>
    <w:multiLevelType w:val="hybridMultilevel"/>
    <w:tmpl w:val="A010F830"/>
    <w:lvl w:ilvl="0" w:tplc="20000017">
      <w:start w:val="1"/>
      <w:numFmt w:val="lowerLetter"/>
      <w:lvlText w:val="%1)"/>
      <w:lvlJc w:val="left"/>
      <w:pPr>
        <w:ind w:left="1800" w:hanging="360"/>
      </w:p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9" w15:restartNumberingAfterBreak="0">
    <w:nsid w:val="668E2918"/>
    <w:multiLevelType w:val="hybridMultilevel"/>
    <w:tmpl w:val="7866870A"/>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8566974"/>
    <w:multiLevelType w:val="hybridMultilevel"/>
    <w:tmpl w:val="C40A4E0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26D0DBA"/>
    <w:multiLevelType w:val="hybridMultilevel"/>
    <w:tmpl w:val="7E2243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DF1FB2"/>
    <w:multiLevelType w:val="hybridMultilevel"/>
    <w:tmpl w:val="F9F49C02"/>
    <w:lvl w:ilvl="0" w:tplc="A246F164">
      <w:start w:val="1"/>
      <w:numFmt w:val="lowerLetter"/>
      <w:lvlText w:val="%1)"/>
      <w:lvlJc w:val="left"/>
      <w:pPr>
        <w:ind w:left="720" w:hanging="360"/>
      </w:pPr>
      <w:rPr>
        <w:b w:val="0"/>
        <w:bCs w:val="0"/>
        <w:i w:val="0"/>
        <w:iCs/>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DC12E9E"/>
    <w:multiLevelType w:val="multilevel"/>
    <w:tmpl w:val="A6BACC58"/>
    <w:lvl w:ilvl="0">
      <w:start w:val="1"/>
      <w:numFmt w:val="decimal"/>
      <w:lvlText w:val="%1."/>
      <w:lvlJc w:val="left"/>
      <w:pPr>
        <w:ind w:left="-6" w:hanging="360"/>
      </w:pPr>
      <w:rPr>
        <w:rFonts w:hint="default"/>
      </w:rPr>
    </w:lvl>
    <w:lvl w:ilvl="1">
      <w:start w:val="1"/>
      <w:numFmt w:val="decimal"/>
      <w:lvlText w:val="%1.%2."/>
      <w:lvlJc w:val="left"/>
      <w:pPr>
        <w:ind w:left="426" w:hanging="432"/>
      </w:pPr>
      <w:rPr>
        <w:rFonts w:hint="default"/>
      </w:rPr>
    </w:lvl>
    <w:lvl w:ilvl="2">
      <w:start w:val="1"/>
      <w:numFmt w:val="decimal"/>
      <w:lvlText w:val="%1.%2.%3."/>
      <w:lvlJc w:val="left"/>
      <w:pPr>
        <w:ind w:left="858" w:hanging="504"/>
      </w:pPr>
      <w:rPr>
        <w:rFonts w:hint="default"/>
      </w:rPr>
    </w:lvl>
    <w:lvl w:ilvl="3">
      <w:start w:val="1"/>
      <w:numFmt w:val="decimal"/>
      <w:lvlText w:val="%1.%2.%3.%4."/>
      <w:lvlJc w:val="left"/>
      <w:pPr>
        <w:ind w:left="1362" w:hanging="648"/>
      </w:pPr>
      <w:rPr>
        <w:rFonts w:hint="default"/>
      </w:rPr>
    </w:lvl>
    <w:lvl w:ilvl="4">
      <w:start w:val="1"/>
      <w:numFmt w:val="decimal"/>
      <w:lvlText w:val="%1.%2.%3.%4.%5."/>
      <w:lvlJc w:val="left"/>
      <w:pPr>
        <w:ind w:left="1866" w:hanging="792"/>
      </w:pPr>
      <w:rPr>
        <w:rFonts w:hint="default"/>
      </w:rPr>
    </w:lvl>
    <w:lvl w:ilvl="5">
      <w:start w:val="1"/>
      <w:numFmt w:val="decimal"/>
      <w:lvlText w:val="%1.%2.%3.%4.%5.%6."/>
      <w:lvlJc w:val="left"/>
      <w:pPr>
        <w:ind w:left="2370" w:hanging="936"/>
      </w:pPr>
      <w:rPr>
        <w:rFonts w:hint="default"/>
      </w:rPr>
    </w:lvl>
    <w:lvl w:ilvl="6">
      <w:start w:val="1"/>
      <w:numFmt w:val="decimal"/>
      <w:lvlText w:val="%1.%2.%3.%4.%5.%6.%7."/>
      <w:lvlJc w:val="left"/>
      <w:pPr>
        <w:ind w:left="2874" w:hanging="1080"/>
      </w:pPr>
      <w:rPr>
        <w:rFonts w:hint="default"/>
      </w:rPr>
    </w:lvl>
    <w:lvl w:ilvl="7">
      <w:start w:val="1"/>
      <w:numFmt w:val="decimal"/>
      <w:lvlText w:val="%1.%2.%3.%4.%5.%6.%7.%8."/>
      <w:lvlJc w:val="left"/>
      <w:pPr>
        <w:ind w:left="3378" w:hanging="1224"/>
      </w:pPr>
      <w:rPr>
        <w:rFonts w:hint="default"/>
      </w:rPr>
    </w:lvl>
    <w:lvl w:ilvl="8">
      <w:start w:val="1"/>
      <w:numFmt w:val="decimal"/>
      <w:lvlText w:val="%1.%2.%3.%4.%5.%6.%7.%8.%9."/>
      <w:lvlJc w:val="left"/>
      <w:pPr>
        <w:ind w:left="3954" w:hanging="1440"/>
      </w:pPr>
      <w:rPr>
        <w:rFonts w:hint="default"/>
      </w:rPr>
    </w:lvl>
  </w:abstractNum>
  <w:abstractNum w:abstractNumId="34" w15:restartNumberingAfterBreak="0">
    <w:nsid w:val="7E8332E8"/>
    <w:multiLevelType w:val="hybridMultilevel"/>
    <w:tmpl w:val="66E02426"/>
    <w:lvl w:ilvl="0" w:tplc="34ECBCAA">
      <w:start w:val="3"/>
      <w:numFmt w:val="bullet"/>
      <w:lvlText w:val="-"/>
      <w:lvlJc w:val="left"/>
      <w:pPr>
        <w:ind w:left="720" w:hanging="360"/>
      </w:pPr>
      <w:rPr>
        <w:rFonts w:ascii="Nexa Light" w:eastAsiaTheme="minorHAnsi" w:hAnsi="Nexa Ligh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831108">
    <w:abstractNumId w:val="31"/>
  </w:num>
  <w:num w:numId="2" w16cid:durableId="210043381">
    <w:abstractNumId w:val="34"/>
  </w:num>
  <w:num w:numId="3" w16cid:durableId="1741052452">
    <w:abstractNumId w:val="21"/>
  </w:num>
  <w:num w:numId="4" w16cid:durableId="222837116">
    <w:abstractNumId w:val="33"/>
  </w:num>
  <w:num w:numId="5" w16cid:durableId="602148817">
    <w:abstractNumId w:val="18"/>
  </w:num>
  <w:num w:numId="6" w16cid:durableId="1354503010">
    <w:abstractNumId w:val="11"/>
  </w:num>
  <w:num w:numId="7" w16cid:durableId="527569386">
    <w:abstractNumId w:val="6"/>
  </w:num>
  <w:num w:numId="8" w16cid:durableId="87116754">
    <w:abstractNumId w:val="16"/>
  </w:num>
  <w:num w:numId="9" w16cid:durableId="198394054">
    <w:abstractNumId w:val="24"/>
  </w:num>
  <w:num w:numId="10" w16cid:durableId="943078538">
    <w:abstractNumId w:val="17"/>
  </w:num>
  <w:num w:numId="11" w16cid:durableId="317461422">
    <w:abstractNumId w:val="12"/>
  </w:num>
  <w:num w:numId="12" w16cid:durableId="449470093">
    <w:abstractNumId w:val="25"/>
  </w:num>
  <w:num w:numId="13" w16cid:durableId="888497282">
    <w:abstractNumId w:val="9"/>
  </w:num>
  <w:num w:numId="14" w16cid:durableId="993727240">
    <w:abstractNumId w:val="10"/>
  </w:num>
  <w:num w:numId="15" w16cid:durableId="866453310">
    <w:abstractNumId w:val="3"/>
  </w:num>
  <w:num w:numId="16" w16cid:durableId="2060785172">
    <w:abstractNumId w:val="15"/>
  </w:num>
  <w:num w:numId="17" w16cid:durableId="153492528">
    <w:abstractNumId w:val="22"/>
  </w:num>
  <w:num w:numId="18" w16cid:durableId="1721325008">
    <w:abstractNumId w:val="27"/>
  </w:num>
  <w:num w:numId="19" w16cid:durableId="827208100">
    <w:abstractNumId w:val="7"/>
  </w:num>
  <w:num w:numId="20" w16cid:durableId="90593568">
    <w:abstractNumId w:val="0"/>
  </w:num>
  <w:num w:numId="21" w16cid:durableId="284385022">
    <w:abstractNumId w:val="1"/>
  </w:num>
  <w:num w:numId="22" w16cid:durableId="1071852556">
    <w:abstractNumId w:val="1"/>
  </w:num>
  <w:num w:numId="23" w16cid:durableId="1282569181">
    <w:abstractNumId w:val="1"/>
  </w:num>
  <w:num w:numId="24" w16cid:durableId="23603745">
    <w:abstractNumId w:val="1"/>
  </w:num>
  <w:num w:numId="25" w16cid:durableId="1020543413">
    <w:abstractNumId w:val="1"/>
  </w:num>
  <w:num w:numId="26" w16cid:durableId="17318817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74853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26532557">
    <w:abstractNumId w:val="1"/>
  </w:num>
  <w:num w:numId="29" w16cid:durableId="1504273540">
    <w:abstractNumId w:val="1"/>
  </w:num>
  <w:num w:numId="30" w16cid:durableId="1868063194">
    <w:abstractNumId w:val="1"/>
  </w:num>
  <w:num w:numId="31" w16cid:durableId="436945665">
    <w:abstractNumId w:val="1"/>
  </w:num>
  <w:num w:numId="32" w16cid:durableId="1686328428">
    <w:abstractNumId w:val="1"/>
  </w:num>
  <w:num w:numId="33" w16cid:durableId="1543011024">
    <w:abstractNumId w:val="1"/>
  </w:num>
  <w:num w:numId="34" w16cid:durableId="75248918">
    <w:abstractNumId w:val="1"/>
  </w:num>
  <w:num w:numId="35" w16cid:durableId="17318387">
    <w:abstractNumId w:val="1"/>
  </w:num>
  <w:num w:numId="36" w16cid:durableId="1498762795">
    <w:abstractNumId w:val="5"/>
  </w:num>
  <w:num w:numId="37" w16cid:durableId="458114274">
    <w:abstractNumId w:val="23"/>
  </w:num>
  <w:num w:numId="38" w16cid:durableId="742333535">
    <w:abstractNumId w:val="8"/>
  </w:num>
  <w:num w:numId="39" w16cid:durableId="2076275487">
    <w:abstractNumId w:val="20"/>
  </w:num>
  <w:num w:numId="40" w16cid:durableId="1667442295">
    <w:abstractNumId w:val="32"/>
  </w:num>
  <w:num w:numId="41" w16cid:durableId="1085567328">
    <w:abstractNumId w:val="14"/>
  </w:num>
  <w:num w:numId="42" w16cid:durableId="130173688">
    <w:abstractNumId w:val="19"/>
  </w:num>
  <w:num w:numId="43" w16cid:durableId="1127241328">
    <w:abstractNumId w:val="13"/>
  </w:num>
  <w:num w:numId="44" w16cid:durableId="9127402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9642160">
    <w:abstractNumId w:val="30"/>
  </w:num>
  <w:num w:numId="46" w16cid:durableId="402605161">
    <w:abstractNumId w:val="4"/>
  </w:num>
  <w:num w:numId="47" w16cid:durableId="1334643252">
    <w:abstractNumId w:val="26"/>
  </w:num>
  <w:num w:numId="48" w16cid:durableId="1807090226">
    <w:abstractNumId w:val="28"/>
  </w:num>
  <w:num w:numId="49" w16cid:durableId="2276913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8CE"/>
    <w:rsid w:val="00040C9A"/>
    <w:rsid w:val="000734EE"/>
    <w:rsid w:val="00096F7D"/>
    <w:rsid w:val="000B16D1"/>
    <w:rsid w:val="000B5DC7"/>
    <w:rsid w:val="000C7C7D"/>
    <w:rsid w:val="000D6E7E"/>
    <w:rsid w:val="000E6CA9"/>
    <w:rsid w:val="00134E51"/>
    <w:rsid w:val="00170FB7"/>
    <w:rsid w:val="00181DCF"/>
    <w:rsid w:val="00196897"/>
    <w:rsid w:val="001F1A4D"/>
    <w:rsid w:val="001F4077"/>
    <w:rsid w:val="00201156"/>
    <w:rsid w:val="002038E6"/>
    <w:rsid w:val="00243FA2"/>
    <w:rsid w:val="00252F20"/>
    <w:rsid w:val="00264CD8"/>
    <w:rsid w:val="002666A1"/>
    <w:rsid w:val="002A6A13"/>
    <w:rsid w:val="003867F2"/>
    <w:rsid w:val="003E2B0A"/>
    <w:rsid w:val="0041459A"/>
    <w:rsid w:val="00420FAC"/>
    <w:rsid w:val="0042450C"/>
    <w:rsid w:val="00425B3A"/>
    <w:rsid w:val="004A17D0"/>
    <w:rsid w:val="00544A73"/>
    <w:rsid w:val="00576ED8"/>
    <w:rsid w:val="005C5AC3"/>
    <w:rsid w:val="005D1B03"/>
    <w:rsid w:val="0060184E"/>
    <w:rsid w:val="006044F0"/>
    <w:rsid w:val="00614F94"/>
    <w:rsid w:val="00621192"/>
    <w:rsid w:val="00626BE3"/>
    <w:rsid w:val="0063450E"/>
    <w:rsid w:val="00656353"/>
    <w:rsid w:val="00661D75"/>
    <w:rsid w:val="006C5921"/>
    <w:rsid w:val="006D373D"/>
    <w:rsid w:val="006F386B"/>
    <w:rsid w:val="00721559"/>
    <w:rsid w:val="00722594"/>
    <w:rsid w:val="00741BC8"/>
    <w:rsid w:val="007552D3"/>
    <w:rsid w:val="00776ED7"/>
    <w:rsid w:val="007C3961"/>
    <w:rsid w:val="007D1543"/>
    <w:rsid w:val="007F09C0"/>
    <w:rsid w:val="00822E50"/>
    <w:rsid w:val="00835CFC"/>
    <w:rsid w:val="0084365F"/>
    <w:rsid w:val="00855BF1"/>
    <w:rsid w:val="008823F1"/>
    <w:rsid w:val="0088658D"/>
    <w:rsid w:val="00894732"/>
    <w:rsid w:val="008B30B8"/>
    <w:rsid w:val="00922B17"/>
    <w:rsid w:val="009468A2"/>
    <w:rsid w:val="0095496A"/>
    <w:rsid w:val="0095526C"/>
    <w:rsid w:val="009D116E"/>
    <w:rsid w:val="009D24AC"/>
    <w:rsid w:val="009E7655"/>
    <w:rsid w:val="009F38A5"/>
    <w:rsid w:val="009F4470"/>
    <w:rsid w:val="00A00C52"/>
    <w:rsid w:val="00A070BB"/>
    <w:rsid w:val="00A35411"/>
    <w:rsid w:val="00A37620"/>
    <w:rsid w:val="00A43D88"/>
    <w:rsid w:val="00A551C5"/>
    <w:rsid w:val="00A62A65"/>
    <w:rsid w:val="00AA6A84"/>
    <w:rsid w:val="00AD4EDE"/>
    <w:rsid w:val="00AD6057"/>
    <w:rsid w:val="00AE6FA5"/>
    <w:rsid w:val="00AF4975"/>
    <w:rsid w:val="00B14839"/>
    <w:rsid w:val="00B20A11"/>
    <w:rsid w:val="00B45632"/>
    <w:rsid w:val="00B74601"/>
    <w:rsid w:val="00B8212A"/>
    <w:rsid w:val="00B944BC"/>
    <w:rsid w:val="00B964FA"/>
    <w:rsid w:val="00B96C7D"/>
    <w:rsid w:val="00BB2FD0"/>
    <w:rsid w:val="00BC28CE"/>
    <w:rsid w:val="00BD4237"/>
    <w:rsid w:val="00BE6AF2"/>
    <w:rsid w:val="00C24D73"/>
    <w:rsid w:val="00C53C3A"/>
    <w:rsid w:val="00C64184"/>
    <w:rsid w:val="00CD24D1"/>
    <w:rsid w:val="00D9481D"/>
    <w:rsid w:val="00DA230C"/>
    <w:rsid w:val="00E222C1"/>
    <w:rsid w:val="00E5329F"/>
    <w:rsid w:val="00E6265D"/>
    <w:rsid w:val="00EB0213"/>
    <w:rsid w:val="00EF68D0"/>
    <w:rsid w:val="00F16DDB"/>
    <w:rsid w:val="00F3091C"/>
    <w:rsid w:val="00F37545"/>
    <w:rsid w:val="00F66DE8"/>
    <w:rsid w:val="00FA4A69"/>
    <w:rsid w:val="00FD1DF5"/>
    <w:rsid w:val="00FF0B4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7E8B"/>
  <w15:docId w15:val="{0F51BC97-0ED6-4CD3-9962-13D4935F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A11"/>
    <w:pPr>
      <w:spacing w:before="120" w:after="120"/>
    </w:pPr>
    <w:rPr>
      <w:rFonts w:ascii="Nexa Light" w:hAnsi="Nexa Light"/>
    </w:rPr>
  </w:style>
  <w:style w:type="paragraph" w:styleId="Heading1">
    <w:name w:val="heading 1"/>
    <w:basedOn w:val="Normal"/>
    <w:next w:val="Normal"/>
    <w:link w:val="Heading1Char"/>
    <w:uiPriority w:val="9"/>
    <w:qFormat/>
    <w:rsid w:val="00D77393"/>
    <w:pPr>
      <w:keepNext/>
      <w:keepLines/>
      <w:numPr>
        <w:numId w:val="13"/>
      </w:numPr>
      <w:spacing w:before="360"/>
      <w:outlineLvl w:val="0"/>
    </w:pPr>
    <w:rPr>
      <w:rFonts w:eastAsiaTheme="majorEastAsia" w:cstheme="majorBidi"/>
      <w:b/>
      <w:i/>
      <w:color w:val="EF8300"/>
      <w:sz w:val="32"/>
      <w:szCs w:val="32"/>
    </w:rPr>
  </w:style>
  <w:style w:type="paragraph" w:styleId="Heading2">
    <w:name w:val="heading 2"/>
    <w:basedOn w:val="Normal"/>
    <w:next w:val="Normal"/>
    <w:link w:val="Heading2Char"/>
    <w:uiPriority w:val="9"/>
    <w:unhideWhenUsed/>
    <w:qFormat/>
    <w:rsid w:val="002C60B7"/>
    <w:pPr>
      <w:keepNext/>
      <w:keepLines/>
      <w:numPr>
        <w:ilvl w:val="1"/>
        <w:numId w:val="13"/>
      </w:numPr>
      <w:spacing w:before="160" w:line="276" w:lineRule="auto"/>
      <w:ind w:left="567" w:hanging="567"/>
      <w:outlineLvl w:val="1"/>
    </w:pPr>
    <w:rPr>
      <w:rFonts w:eastAsiaTheme="majorEastAsia" w:cstheme="majorBidi"/>
      <w:b/>
      <w:i/>
      <w:color w:val="363534"/>
      <w:sz w:val="26"/>
      <w:szCs w:val="26"/>
      <w:u w:val="single"/>
    </w:rPr>
  </w:style>
  <w:style w:type="paragraph" w:styleId="Heading3">
    <w:name w:val="heading 3"/>
    <w:basedOn w:val="Normal"/>
    <w:next w:val="Normal"/>
    <w:link w:val="Heading3Char"/>
    <w:uiPriority w:val="9"/>
    <w:unhideWhenUsed/>
    <w:qFormat/>
    <w:rsid w:val="002C60B7"/>
    <w:pPr>
      <w:keepNext/>
      <w:keepLines/>
      <w:numPr>
        <w:ilvl w:val="2"/>
        <w:numId w:val="13"/>
      </w:numPr>
      <w:spacing w:before="40"/>
      <w:ind w:left="851" w:hanging="851"/>
      <w:outlineLvl w:val="2"/>
    </w:pPr>
    <w:rPr>
      <w:rFonts w:asciiTheme="majorHAnsi" w:eastAsiaTheme="majorEastAsia" w:hAnsiTheme="majorHAnsi" w:cstheme="majorBidi"/>
      <w:color w:val="EE7203" w:themeColor="accent1"/>
    </w:rPr>
  </w:style>
  <w:style w:type="paragraph" w:styleId="Heading4">
    <w:name w:val="heading 4"/>
    <w:basedOn w:val="Normal"/>
    <w:next w:val="Normal"/>
    <w:link w:val="Heading4Char"/>
    <w:uiPriority w:val="9"/>
    <w:unhideWhenUsed/>
    <w:qFormat/>
    <w:rsid w:val="006C7EA9"/>
    <w:pPr>
      <w:keepNext/>
      <w:keepLines/>
      <w:spacing w:before="160"/>
      <w:outlineLvl w:val="3"/>
    </w:pPr>
    <w:rPr>
      <w:rFonts w:eastAsiaTheme="majorEastAsia" w:cstheme="majorBidi"/>
      <w:iCs/>
      <w:color w:val="EF8300"/>
    </w:rPr>
  </w:style>
  <w:style w:type="paragraph" w:styleId="Heading5">
    <w:name w:val="heading 5"/>
    <w:basedOn w:val="Normal"/>
    <w:next w:val="Normal"/>
    <w:link w:val="Heading5Char"/>
    <w:uiPriority w:val="9"/>
    <w:unhideWhenUsed/>
    <w:qFormat/>
    <w:rsid w:val="006C7EA9"/>
    <w:pPr>
      <w:keepNext/>
      <w:keepLines/>
      <w:spacing w:before="40" w:after="0"/>
      <w:outlineLvl w:val="4"/>
    </w:pPr>
    <w:rPr>
      <w:rFonts w:asciiTheme="majorHAnsi" w:eastAsiaTheme="majorEastAsia" w:hAnsiTheme="majorHAnsi" w:cstheme="majorBidi"/>
      <w:color w:val="B25502"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3769D9"/>
    <w:rPr>
      <w:rFonts w:eastAsiaTheme="minorEastAsia" w:cs="Arial"/>
      <w:sz w:val="20"/>
      <w:szCs w:val="20"/>
      <w:lang w:eastAsia="en-CA"/>
    </w:rPr>
  </w:style>
  <w:style w:type="character" w:customStyle="1" w:styleId="FootnoteTextChar">
    <w:name w:val="Footnote Text Char"/>
    <w:basedOn w:val="DefaultParagraphFont"/>
    <w:link w:val="FootnoteText"/>
    <w:rsid w:val="003769D9"/>
    <w:rPr>
      <w:rFonts w:eastAsiaTheme="minorEastAsia" w:cs="Arial"/>
      <w:sz w:val="20"/>
      <w:szCs w:val="20"/>
      <w:lang w:eastAsia="en-CA"/>
    </w:rPr>
  </w:style>
  <w:style w:type="character" w:styleId="FootnoteReference">
    <w:name w:val="footnote reference"/>
    <w:aliases w:val="ftref, BVI fnr Car,BVI fnr Car, BVI fnr Car Car Car,BVI fnr Car Car, BVI fnr Car Car Car Car Char Car, BVI fnr Car Car,BVI fnr Car1 Car, BVI fnr Car Car Car Car,BVI fnr Car Car Car1, BVI fnr Car Car Car Car Char Char Car Car,BVI fnr"/>
    <w:basedOn w:val="DefaultParagraphFont"/>
    <w:link w:val="BVIfnrCharCharCharCharCharCharCharCharCharCharCharCharCharCharCharCharCharChar1"/>
    <w:uiPriority w:val="99"/>
    <w:unhideWhenUsed/>
    <w:qFormat/>
    <w:rsid w:val="003769D9"/>
    <w:rPr>
      <w:rFonts w:cs="Times New Roman"/>
      <w:vertAlign w:val="superscript"/>
    </w:rPr>
  </w:style>
  <w:style w:type="paragraph" w:styleId="ListParagraph">
    <w:name w:val="List Paragraph"/>
    <w:aliases w:val="LISTA,Dot pt,List Paragraph Char Char Char,Indicator Text,Numbered Para 1,List Paragraph12,Bullet Points,MAIN CONTENT,Bullet 1"/>
    <w:basedOn w:val="Normal"/>
    <w:link w:val="ListParagraphChar"/>
    <w:uiPriority w:val="34"/>
    <w:qFormat/>
    <w:rsid w:val="003769D9"/>
    <w:pPr>
      <w:ind w:left="720"/>
      <w:contextualSpacing/>
    </w:pPr>
  </w:style>
  <w:style w:type="paragraph" w:styleId="Title">
    <w:name w:val="Title"/>
    <w:basedOn w:val="Normal"/>
    <w:next w:val="Normal"/>
    <w:link w:val="TitleChar"/>
    <w:uiPriority w:val="10"/>
    <w:qFormat/>
    <w:rsid w:val="0002215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15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C60B7"/>
    <w:rPr>
      <w:rFonts w:ascii="Nexa Light" w:eastAsiaTheme="majorEastAsia" w:hAnsi="Nexa Light" w:cstheme="majorBidi"/>
      <w:b/>
      <w:color w:val="363534"/>
      <w:sz w:val="26"/>
      <w:szCs w:val="26"/>
      <w:u w:val="single"/>
    </w:rPr>
  </w:style>
  <w:style w:type="character" w:customStyle="1" w:styleId="Heading1Char">
    <w:name w:val="Heading 1 Char"/>
    <w:basedOn w:val="DefaultParagraphFont"/>
    <w:link w:val="Heading1"/>
    <w:uiPriority w:val="9"/>
    <w:rsid w:val="00D77393"/>
    <w:rPr>
      <w:rFonts w:ascii="Nexa Light" w:eastAsiaTheme="majorEastAsia" w:hAnsi="Nexa Light" w:cstheme="majorBidi"/>
      <w:b/>
      <w:color w:val="EF8300"/>
      <w:sz w:val="32"/>
      <w:szCs w:val="32"/>
    </w:rPr>
  </w:style>
  <w:style w:type="paragraph" w:styleId="TOCHeading">
    <w:name w:val="TOC Heading"/>
    <w:basedOn w:val="Heading1"/>
    <w:next w:val="Normal"/>
    <w:uiPriority w:val="39"/>
    <w:unhideWhenUsed/>
    <w:qFormat/>
    <w:rsid w:val="00AC21B8"/>
    <w:pPr>
      <w:spacing w:before="480" w:line="276" w:lineRule="auto"/>
      <w:outlineLvl w:val="9"/>
    </w:pPr>
    <w:rPr>
      <w:rFonts w:asciiTheme="majorHAnsi" w:hAnsiTheme="majorHAnsi"/>
      <w:bCs/>
      <w:color w:val="B25502" w:themeColor="accent1" w:themeShade="BF"/>
      <w:sz w:val="28"/>
      <w:szCs w:val="28"/>
      <w:lang w:val="en-US"/>
    </w:rPr>
  </w:style>
  <w:style w:type="paragraph" w:styleId="TOC1">
    <w:name w:val="toc 1"/>
    <w:basedOn w:val="Normal"/>
    <w:next w:val="Normal"/>
    <w:autoRedefine/>
    <w:uiPriority w:val="39"/>
    <w:unhideWhenUsed/>
    <w:rsid w:val="00AC21B8"/>
    <w:pPr>
      <w:spacing w:after="0"/>
    </w:pPr>
    <w:rPr>
      <w:rFonts w:asciiTheme="minorHAnsi" w:hAnsiTheme="minorHAnsi" w:cstheme="minorHAnsi"/>
      <w:b/>
      <w:bCs/>
      <w:iCs/>
    </w:rPr>
  </w:style>
  <w:style w:type="paragraph" w:styleId="TOC2">
    <w:name w:val="toc 2"/>
    <w:basedOn w:val="Normal"/>
    <w:next w:val="Normal"/>
    <w:autoRedefine/>
    <w:uiPriority w:val="39"/>
    <w:unhideWhenUsed/>
    <w:rsid w:val="00AC21B8"/>
    <w:pPr>
      <w:spacing w:after="0"/>
      <w:ind w:left="240"/>
    </w:pPr>
    <w:rPr>
      <w:rFonts w:asciiTheme="minorHAnsi" w:hAnsiTheme="minorHAnsi" w:cstheme="minorHAnsi"/>
      <w:b/>
      <w:bCs/>
      <w:i/>
      <w:sz w:val="22"/>
      <w:szCs w:val="22"/>
    </w:rPr>
  </w:style>
  <w:style w:type="character" w:styleId="Hyperlink">
    <w:name w:val="Hyperlink"/>
    <w:basedOn w:val="DefaultParagraphFont"/>
    <w:uiPriority w:val="99"/>
    <w:unhideWhenUsed/>
    <w:rsid w:val="00AC21B8"/>
    <w:rPr>
      <w:color w:val="D8D8D8" w:themeColor="hyperlink"/>
      <w:u w:val="single"/>
    </w:rPr>
  </w:style>
  <w:style w:type="paragraph" w:styleId="TOC3">
    <w:name w:val="toc 3"/>
    <w:basedOn w:val="Normal"/>
    <w:next w:val="Normal"/>
    <w:autoRedefine/>
    <w:uiPriority w:val="39"/>
    <w:unhideWhenUsed/>
    <w:rsid w:val="00AC21B8"/>
    <w:pPr>
      <w:spacing w:before="0" w:after="0"/>
      <w:ind w:left="480"/>
    </w:pPr>
    <w:rPr>
      <w:rFonts w:asciiTheme="minorHAnsi" w:hAnsiTheme="minorHAnsi" w:cstheme="minorHAnsi"/>
      <w:i/>
      <w:sz w:val="20"/>
      <w:szCs w:val="20"/>
    </w:rPr>
  </w:style>
  <w:style w:type="paragraph" w:styleId="TOC4">
    <w:name w:val="toc 4"/>
    <w:basedOn w:val="Normal"/>
    <w:next w:val="Normal"/>
    <w:autoRedefine/>
    <w:uiPriority w:val="39"/>
    <w:unhideWhenUsed/>
    <w:rsid w:val="00AC21B8"/>
    <w:pPr>
      <w:spacing w:before="0" w:after="0"/>
      <w:ind w:left="720"/>
    </w:pPr>
    <w:rPr>
      <w:rFonts w:asciiTheme="minorHAnsi" w:hAnsiTheme="minorHAnsi" w:cstheme="minorHAnsi"/>
      <w:i/>
      <w:sz w:val="20"/>
      <w:szCs w:val="20"/>
    </w:rPr>
  </w:style>
  <w:style w:type="paragraph" w:styleId="TOC5">
    <w:name w:val="toc 5"/>
    <w:basedOn w:val="Normal"/>
    <w:next w:val="Normal"/>
    <w:autoRedefine/>
    <w:uiPriority w:val="39"/>
    <w:semiHidden/>
    <w:unhideWhenUsed/>
    <w:rsid w:val="00AC21B8"/>
    <w:pPr>
      <w:spacing w:before="0" w:after="0"/>
      <w:ind w:left="960"/>
    </w:pPr>
    <w:rPr>
      <w:rFonts w:asciiTheme="minorHAnsi" w:hAnsiTheme="minorHAnsi" w:cstheme="minorHAnsi"/>
      <w:i/>
      <w:sz w:val="20"/>
      <w:szCs w:val="20"/>
    </w:rPr>
  </w:style>
  <w:style w:type="paragraph" w:styleId="TOC6">
    <w:name w:val="toc 6"/>
    <w:basedOn w:val="Normal"/>
    <w:next w:val="Normal"/>
    <w:autoRedefine/>
    <w:uiPriority w:val="39"/>
    <w:semiHidden/>
    <w:unhideWhenUsed/>
    <w:rsid w:val="00AC21B8"/>
    <w:pPr>
      <w:spacing w:before="0" w:after="0"/>
      <w:ind w:left="1200"/>
    </w:pPr>
    <w:rPr>
      <w:rFonts w:asciiTheme="minorHAnsi" w:hAnsiTheme="minorHAnsi" w:cstheme="minorHAnsi"/>
      <w:i/>
      <w:sz w:val="20"/>
      <w:szCs w:val="20"/>
    </w:rPr>
  </w:style>
  <w:style w:type="paragraph" w:styleId="TOC7">
    <w:name w:val="toc 7"/>
    <w:basedOn w:val="Normal"/>
    <w:next w:val="Normal"/>
    <w:autoRedefine/>
    <w:uiPriority w:val="39"/>
    <w:semiHidden/>
    <w:unhideWhenUsed/>
    <w:rsid w:val="00AC21B8"/>
    <w:pPr>
      <w:spacing w:before="0" w:after="0"/>
      <w:ind w:left="1440"/>
    </w:pPr>
    <w:rPr>
      <w:rFonts w:asciiTheme="minorHAnsi" w:hAnsiTheme="minorHAnsi" w:cstheme="minorHAnsi"/>
      <w:i/>
      <w:sz w:val="20"/>
      <w:szCs w:val="20"/>
    </w:rPr>
  </w:style>
  <w:style w:type="paragraph" w:styleId="TOC8">
    <w:name w:val="toc 8"/>
    <w:basedOn w:val="Normal"/>
    <w:next w:val="Normal"/>
    <w:autoRedefine/>
    <w:uiPriority w:val="39"/>
    <w:semiHidden/>
    <w:unhideWhenUsed/>
    <w:rsid w:val="00AC21B8"/>
    <w:pPr>
      <w:spacing w:before="0" w:after="0"/>
      <w:ind w:left="1680"/>
    </w:pPr>
    <w:rPr>
      <w:rFonts w:asciiTheme="minorHAnsi" w:hAnsiTheme="minorHAnsi" w:cstheme="minorHAnsi"/>
      <w:i/>
      <w:sz w:val="20"/>
      <w:szCs w:val="20"/>
    </w:rPr>
  </w:style>
  <w:style w:type="paragraph" w:styleId="TOC9">
    <w:name w:val="toc 9"/>
    <w:basedOn w:val="Normal"/>
    <w:next w:val="Normal"/>
    <w:autoRedefine/>
    <w:uiPriority w:val="39"/>
    <w:semiHidden/>
    <w:unhideWhenUsed/>
    <w:rsid w:val="00AC21B8"/>
    <w:pPr>
      <w:spacing w:before="0" w:after="0"/>
      <w:ind w:left="1920"/>
    </w:pPr>
    <w:rPr>
      <w:rFonts w:asciiTheme="minorHAnsi" w:hAnsiTheme="minorHAnsi" w:cstheme="minorHAnsi"/>
      <w:i/>
      <w:sz w:val="20"/>
      <w:szCs w:val="20"/>
    </w:rPr>
  </w:style>
  <w:style w:type="character" w:customStyle="1" w:styleId="Heading3Char">
    <w:name w:val="Heading 3 Char"/>
    <w:basedOn w:val="DefaultParagraphFont"/>
    <w:link w:val="Heading3"/>
    <w:uiPriority w:val="9"/>
    <w:rsid w:val="002C60B7"/>
    <w:rPr>
      <w:rFonts w:asciiTheme="majorHAnsi" w:eastAsiaTheme="majorEastAsia" w:hAnsiTheme="majorHAnsi" w:cstheme="majorBidi"/>
      <w:i/>
      <w:color w:val="EE7203" w:themeColor="accent1"/>
    </w:rPr>
  </w:style>
  <w:style w:type="character" w:customStyle="1" w:styleId="Heading4Char">
    <w:name w:val="Heading 4 Char"/>
    <w:basedOn w:val="DefaultParagraphFont"/>
    <w:link w:val="Heading4"/>
    <w:uiPriority w:val="9"/>
    <w:rsid w:val="006C7EA9"/>
    <w:rPr>
      <w:rFonts w:ascii="Nexa Light" w:eastAsiaTheme="majorEastAsia" w:hAnsi="Nexa Light" w:cstheme="majorBidi"/>
      <w:i/>
      <w:iCs/>
      <w:color w:val="EF8300"/>
    </w:rPr>
  </w:style>
  <w:style w:type="table" w:styleId="TableGrid">
    <w:name w:val="Table Grid"/>
    <w:basedOn w:val="TableNormal"/>
    <w:uiPriority w:val="39"/>
    <w:rsid w:val="00481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3273F"/>
    <w:pPr>
      <w:spacing w:before="100" w:beforeAutospacing="1" w:after="100" w:afterAutospacing="1"/>
    </w:pPr>
    <w:rPr>
      <w:rFonts w:ascii="Times New Roman" w:eastAsia="Times New Roman" w:hAnsi="Times New Roman" w:cs="Times New Roman"/>
      <w:i/>
    </w:rPr>
  </w:style>
  <w:style w:type="paragraph" w:styleId="Footer">
    <w:name w:val="footer"/>
    <w:basedOn w:val="Normal"/>
    <w:link w:val="FooterChar"/>
    <w:uiPriority w:val="99"/>
    <w:unhideWhenUsed/>
    <w:rsid w:val="001D6BB8"/>
    <w:pPr>
      <w:tabs>
        <w:tab w:val="center" w:pos="4680"/>
        <w:tab w:val="right" w:pos="9360"/>
      </w:tabs>
      <w:spacing w:before="0" w:after="0"/>
    </w:pPr>
  </w:style>
  <w:style w:type="character" w:customStyle="1" w:styleId="FooterChar">
    <w:name w:val="Footer Char"/>
    <w:basedOn w:val="DefaultParagraphFont"/>
    <w:link w:val="Footer"/>
    <w:uiPriority w:val="99"/>
    <w:rsid w:val="001D6BB8"/>
    <w:rPr>
      <w:rFonts w:ascii="Nexa Light" w:hAnsi="Nexa Light"/>
      <w:i/>
      <w:color w:val="8E908F"/>
    </w:rPr>
  </w:style>
  <w:style w:type="character" w:styleId="PageNumber">
    <w:name w:val="page number"/>
    <w:basedOn w:val="DefaultParagraphFont"/>
    <w:uiPriority w:val="99"/>
    <w:semiHidden/>
    <w:unhideWhenUsed/>
    <w:rsid w:val="001D6BB8"/>
  </w:style>
  <w:style w:type="paragraph" w:styleId="Header">
    <w:name w:val="header"/>
    <w:basedOn w:val="Normal"/>
    <w:link w:val="HeaderChar"/>
    <w:uiPriority w:val="99"/>
    <w:unhideWhenUsed/>
    <w:rsid w:val="001D6BB8"/>
    <w:pPr>
      <w:tabs>
        <w:tab w:val="center" w:pos="4680"/>
        <w:tab w:val="right" w:pos="9360"/>
      </w:tabs>
      <w:spacing w:before="0" w:after="0"/>
    </w:pPr>
  </w:style>
  <w:style w:type="character" w:customStyle="1" w:styleId="HeaderChar">
    <w:name w:val="Header Char"/>
    <w:basedOn w:val="DefaultParagraphFont"/>
    <w:link w:val="Header"/>
    <w:uiPriority w:val="99"/>
    <w:rsid w:val="001D6BB8"/>
    <w:rPr>
      <w:rFonts w:ascii="Nexa Light" w:hAnsi="Nexa Light"/>
      <w:i/>
      <w:color w:val="8E908F"/>
    </w:rPr>
  </w:style>
  <w:style w:type="paragraph" w:styleId="Revision">
    <w:name w:val="Revision"/>
    <w:hidden/>
    <w:uiPriority w:val="99"/>
    <w:semiHidden/>
    <w:rsid w:val="00F85B3B"/>
    <w:rPr>
      <w:rFonts w:ascii="Nexa Light" w:hAnsi="Nexa Light"/>
      <w:i/>
      <w:color w:val="8E908F"/>
    </w:rPr>
  </w:style>
  <w:style w:type="character" w:styleId="CommentReference">
    <w:name w:val="annotation reference"/>
    <w:basedOn w:val="DefaultParagraphFont"/>
    <w:uiPriority w:val="99"/>
    <w:semiHidden/>
    <w:unhideWhenUsed/>
    <w:rsid w:val="00F85B3B"/>
    <w:rPr>
      <w:sz w:val="16"/>
      <w:szCs w:val="16"/>
    </w:rPr>
  </w:style>
  <w:style w:type="paragraph" w:styleId="CommentText">
    <w:name w:val="annotation text"/>
    <w:basedOn w:val="Normal"/>
    <w:link w:val="CommentTextChar"/>
    <w:unhideWhenUsed/>
    <w:rsid w:val="00F85B3B"/>
    <w:rPr>
      <w:sz w:val="20"/>
      <w:szCs w:val="20"/>
    </w:rPr>
  </w:style>
  <w:style w:type="character" w:customStyle="1" w:styleId="CommentTextChar">
    <w:name w:val="Comment Text Char"/>
    <w:basedOn w:val="DefaultParagraphFont"/>
    <w:link w:val="CommentText"/>
    <w:rsid w:val="00F85B3B"/>
    <w:rPr>
      <w:rFonts w:ascii="Nexa Light" w:hAnsi="Nexa Light"/>
      <w:i/>
      <w:color w:val="8E908F"/>
      <w:sz w:val="20"/>
      <w:szCs w:val="20"/>
    </w:rPr>
  </w:style>
  <w:style w:type="paragraph" w:styleId="CommentSubject">
    <w:name w:val="annotation subject"/>
    <w:basedOn w:val="CommentText"/>
    <w:next w:val="CommentText"/>
    <w:link w:val="CommentSubjectChar"/>
    <w:uiPriority w:val="99"/>
    <w:semiHidden/>
    <w:unhideWhenUsed/>
    <w:rsid w:val="00F85B3B"/>
    <w:rPr>
      <w:b/>
      <w:bCs/>
    </w:rPr>
  </w:style>
  <w:style w:type="character" w:customStyle="1" w:styleId="CommentSubjectChar">
    <w:name w:val="Comment Subject Char"/>
    <w:basedOn w:val="CommentTextChar"/>
    <w:link w:val="CommentSubject"/>
    <w:uiPriority w:val="99"/>
    <w:semiHidden/>
    <w:rsid w:val="00F85B3B"/>
    <w:rPr>
      <w:rFonts w:ascii="Nexa Light" w:hAnsi="Nexa Light"/>
      <w:b/>
      <w:bCs/>
      <w:i/>
      <w:color w:val="8E908F"/>
      <w:sz w:val="20"/>
      <w:szCs w:val="20"/>
    </w:rPr>
  </w:style>
  <w:style w:type="paragraph" w:styleId="BalloonText">
    <w:name w:val="Balloon Text"/>
    <w:basedOn w:val="Normal"/>
    <w:link w:val="BalloonTextChar"/>
    <w:semiHidden/>
    <w:unhideWhenUsed/>
    <w:rsid w:val="00AE1789"/>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sid w:val="00AE1789"/>
    <w:rPr>
      <w:rFonts w:ascii="Segoe UI" w:hAnsi="Segoe UI" w:cs="Segoe UI"/>
      <w:i/>
      <w:color w:val="8E908F"/>
      <w:sz w:val="18"/>
      <w:szCs w:val="18"/>
    </w:rPr>
  </w:style>
  <w:style w:type="character" w:customStyle="1" w:styleId="ListParagraphChar">
    <w:name w:val="List Paragraph Char"/>
    <w:aliases w:val="LISTA Char,Dot pt Char,List Paragraph Char Char Char Char,Indicator Text Char,Numbered Para 1 Char,List Paragraph12 Char,Bullet Points Char,MAIN CONTENT Char,Bullet 1 Char"/>
    <w:link w:val="ListParagraph"/>
    <w:uiPriority w:val="34"/>
    <w:locked/>
    <w:rsid w:val="00C926F7"/>
    <w:rPr>
      <w:rFonts w:ascii="Nexa Light" w:hAnsi="Nexa Light"/>
      <w:i/>
      <w:color w:val="8E908F"/>
    </w:rPr>
  </w:style>
  <w:style w:type="character" w:customStyle="1" w:styleId="apple-converted-space">
    <w:name w:val="apple-converted-space"/>
    <w:rsid w:val="00C926F7"/>
  </w:style>
  <w:style w:type="character" w:customStyle="1" w:styleId="fontstyle21">
    <w:name w:val="fontstyle21"/>
    <w:basedOn w:val="DefaultParagraphFont"/>
    <w:rsid w:val="00C926F7"/>
    <w:rPr>
      <w:rFonts w:ascii="Calibri" w:hAnsi="Calibri" w:cs="Calibri" w:hint="default"/>
      <w:b w:val="0"/>
      <w:bCs w:val="0"/>
      <w:i w:val="0"/>
      <w:iCs w:val="0"/>
      <w:color w:val="000000"/>
      <w:sz w:val="22"/>
      <w:szCs w:val="22"/>
    </w:rPr>
  </w:style>
  <w:style w:type="paragraph" w:customStyle="1" w:styleId="body">
    <w:name w:val="body"/>
    <w:basedOn w:val="Normal"/>
    <w:rsid w:val="008176D6"/>
    <w:pPr>
      <w:suppressAutoHyphens/>
      <w:spacing w:before="0"/>
    </w:pPr>
    <w:rPr>
      <w:rFonts w:ascii="Times New Roman" w:eastAsia="Times New Roman" w:hAnsi="Times New Roman" w:cs="Times New Roman"/>
      <w:i/>
      <w:lang w:val="en-GB" w:eastAsia="ar-SA"/>
    </w:rPr>
  </w:style>
  <w:style w:type="character" w:customStyle="1" w:styleId="longtext1">
    <w:name w:val="long_text1"/>
    <w:rsid w:val="008176D6"/>
    <w:rPr>
      <w:sz w:val="24"/>
      <w:szCs w:val="24"/>
    </w:rPr>
  </w:style>
  <w:style w:type="character" w:customStyle="1" w:styleId="bodyChar1">
    <w:name w:val="body Char1"/>
    <w:rsid w:val="008176D6"/>
    <w:rPr>
      <w:rFonts w:ascii="Times New Roman" w:eastAsia="Times New Roman" w:hAnsi="Times New Roman" w:cs="Times New Roman"/>
      <w:sz w:val="24"/>
      <w:szCs w:val="24"/>
      <w:lang w:val="en-GB"/>
    </w:rPr>
  </w:style>
  <w:style w:type="paragraph" w:customStyle="1" w:styleId="List1">
    <w:name w:val="List_1"/>
    <w:basedOn w:val="body"/>
    <w:rsid w:val="008176D6"/>
  </w:style>
  <w:style w:type="paragraph" w:customStyle="1" w:styleId="NIEtext">
    <w:name w:val="NIE text"/>
    <w:basedOn w:val="BodyText3"/>
    <w:rsid w:val="008176D6"/>
    <w:pPr>
      <w:spacing w:before="0" w:after="0"/>
      <w:jc w:val="both"/>
    </w:pPr>
    <w:rPr>
      <w:rFonts w:ascii="Cambria" w:eastAsia="Times New Roman" w:hAnsi="Cambria" w:cs="Times New Roman"/>
      <w:i/>
      <w:sz w:val="24"/>
      <w:szCs w:val="14"/>
      <w:lang w:val="en-GB"/>
    </w:rPr>
  </w:style>
  <w:style w:type="paragraph" w:styleId="BodyText3">
    <w:name w:val="Body Text 3"/>
    <w:basedOn w:val="Normal"/>
    <w:link w:val="BodyText3Char"/>
    <w:uiPriority w:val="99"/>
    <w:semiHidden/>
    <w:unhideWhenUsed/>
    <w:rsid w:val="008176D6"/>
    <w:rPr>
      <w:sz w:val="16"/>
      <w:szCs w:val="16"/>
    </w:rPr>
  </w:style>
  <w:style w:type="character" w:customStyle="1" w:styleId="BodyText3Char">
    <w:name w:val="Body Text 3 Char"/>
    <w:basedOn w:val="DefaultParagraphFont"/>
    <w:link w:val="BodyText3"/>
    <w:uiPriority w:val="99"/>
    <w:semiHidden/>
    <w:rsid w:val="008176D6"/>
    <w:rPr>
      <w:rFonts w:ascii="Nexa Light" w:hAnsi="Nexa Light"/>
      <w:i/>
      <w:color w:val="8E908F"/>
      <w:sz w:val="16"/>
      <w:szCs w:val="16"/>
    </w:rPr>
  </w:style>
  <w:style w:type="table" w:styleId="LightList-Accent1">
    <w:name w:val="Light List Accent 1"/>
    <w:basedOn w:val="TableNormal"/>
    <w:uiPriority w:val="61"/>
    <w:rsid w:val="008E7A7E"/>
    <w:rPr>
      <w:sz w:val="22"/>
      <w:szCs w:val="22"/>
      <w:lang w:val="en-US"/>
    </w:rPr>
    <w:tblPr>
      <w:tblStyleRowBandSize w:val="1"/>
      <w:tblStyleColBandSize w:val="1"/>
      <w:tblBorders>
        <w:top w:val="single" w:sz="8" w:space="0" w:color="EE7203" w:themeColor="accent1"/>
        <w:left w:val="single" w:sz="8" w:space="0" w:color="EE7203" w:themeColor="accent1"/>
        <w:bottom w:val="single" w:sz="8" w:space="0" w:color="EE7203" w:themeColor="accent1"/>
        <w:right w:val="single" w:sz="8" w:space="0" w:color="EE7203" w:themeColor="accent1"/>
      </w:tblBorders>
    </w:tblPr>
    <w:tblStylePr w:type="firstRow">
      <w:pPr>
        <w:spacing w:before="0" w:after="0" w:line="240" w:lineRule="auto"/>
      </w:pPr>
      <w:rPr>
        <w:b/>
        <w:bCs/>
        <w:color w:val="FFFFFF" w:themeColor="background1"/>
      </w:rPr>
      <w:tblPr/>
      <w:tcPr>
        <w:shd w:val="clear" w:color="auto" w:fill="EE7203" w:themeFill="accent1"/>
      </w:tcPr>
    </w:tblStylePr>
    <w:tblStylePr w:type="lastRow">
      <w:pPr>
        <w:spacing w:before="0" w:after="0" w:line="240" w:lineRule="auto"/>
      </w:pPr>
      <w:rPr>
        <w:b/>
        <w:bCs/>
      </w:rPr>
      <w:tblPr/>
      <w:tcPr>
        <w:tcBorders>
          <w:top w:val="double" w:sz="6" w:space="0" w:color="EE7203" w:themeColor="accent1"/>
          <w:left w:val="single" w:sz="8" w:space="0" w:color="EE7203" w:themeColor="accent1"/>
          <w:bottom w:val="single" w:sz="8" w:space="0" w:color="EE7203" w:themeColor="accent1"/>
          <w:right w:val="single" w:sz="8" w:space="0" w:color="EE7203" w:themeColor="accent1"/>
        </w:tcBorders>
      </w:tcPr>
    </w:tblStylePr>
    <w:tblStylePr w:type="firstCol">
      <w:rPr>
        <w:b/>
        <w:bCs/>
      </w:rPr>
    </w:tblStylePr>
    <w:tblStylePr w:type="lastCol">
      <w:rPr>
        <w:b/>
        <w:bCs/>
      </w:rPr>
    </w:tblStylePr>
    <w:tblStylePr w:type="band1Vert">
      <w:tblPr/>
      <w:tcPr>
        <w:tcBorders>
          <w:top w:val="single" w:sz="8" w:space="0" w:color="EE7203" w:themeColor="accent1"/>
          <w:left w:val="single" w:sz="8" w:space="0" w:color="EE7203" w:themeColor="accent1"/>
          <w:bottom w:val="single" w:sz="8" w:space="0" w:color="EE7203" w:themeColor="accent1"/>
          <w:right w:val="single" w:sz="8" w:space="0" w:color="EE7203" w:themeColor="accent1"/>
        </w:tcBorders>
      </w:tcPr>
    </w:tblStylePr>
    <w:tblStylePr w:type="band1Horz">
      <w:tblPr/>
      <w:tcPr>
        <w:tcBorders>
          <w:top w:val="single" w:sz="8" w:space="0" w:color="EE7203" w:themeColor="accent1"/>
          <w:left w:val="single" w:sz="8" w:space="0" w:color="EE7203" w:themeColor="accent1"/>
          <w:bottom w:val="single" w:sz="8" w:space="0" w:color="EE7203" w:themeColor="accent1"/>
          <w:right w:val="single" w:sz="8" w:space="0" w:color="EE7203" w:themeColor="accent1"/>
        </w:tcBorders>
      </w:tcPr>
    </w:tblStylePr>
  </w:style>
  <w:style w:type="paragraph" w:styleId="NoSpacing">
    <w:name w:val="No Spacing"/>
    <w:aliases w:val="Normal 2,Blah"/>
    <w:uiPriority w:val="1"/>
    <w:qFormat/>
    <w:rsid w:val="00BF26F2"/>
    <w:rPr>
      <w:rFonts w:ascii="Nexa Light" w:hAnsi="Nexa Light"/>
      <w:szCs w:val="22"/>
      <w:lang w:val="en-US"/>
    </w:rPr>
  </w:style>
  <w:style w:type="table" w:styleId="LightGrid-Accent5">
    <w:name w:val="Light Grid Accent 5"/>
    <w:basedOn w:val="TableNormal"/>
    <w:uiPriority w:val="62"/>
    <w:rsid w:val="005C1FE7"/>
    <w:rPr>
      <w:sz w:val="22"/>
      <w:szCs w:val="22"/>
      <w:lang w:val="en-US"/>
    </w:rPr>
    <w:tblPr>
      <w:tblStyleRowBandSize w:val="1"/>
      <w:tblStyleColBandSize w:val="1"/>
      <w:tblBorders>
        <w:top w:val="single" w:sz="8" w:space="0" w:color="A5A5A5" w:themeColor="accent5"/>
        <w:left w:val="single" w:sz="8" w:space="0" w:color="A5A5A5" w:themeColor="accent5"/>
        <w:bottom w:val="single" w:sz="8" w:space="0" w:color="A5A5A5" w:themeColor="accent5"/>
        <w:right w:val="single" w:sz="8" w:space="0" w:color="A5A5A5" w:themeColor="accent5"/>
        <w:insideH w:val="single" w:sz="8" w:space="0" w:color="A5A5A5" w:themeColor="accent5"/>
        <w:insideV w:val="single" w:sz="8" w:space="0" w:color="A5A5A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5"/>
          <w:left w:val="single" w:sz="8" w:space="0" w:color="A5A5A5" w:themeColor="accent5"/>
          <w:bottom w:val="single" w:sz="18" w:space="0" w:color="A5A5A5" w:themeColor="accent5"/>
          <w:right w:val="single" w:sz="8" w:space="0" w:color="A5A5A5" w:themeColor="accent5"/>
          <w:insideH w:val="nil"/>
          <w:insideV w:val="single" w:sz="8" w:space="0" w:color="A5A5A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5"/>
          <w:left w:val="single" w:sz="8" w:space="0" w:color="A5A5A5" w:themeColor="accent5"/>
          <w:bottom w:val="single" w:sz="8" w:space="0" w:color="A5A5A5" w:themeColor="accent5"/>
          <w:right w:val="single" w:sz="8" w:space="0" w:color="A5A5A5" w:themeColor="accent5"/>
          <w:insideH w:val="nil"/>
          <w:insideV w:val="single" w:sz="8" w:space="0" w:color="A5A5A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5"/>
          <w:left w:val="single" w:sz="8" w:space="0" w:color="A5A5A5" w:themeColor="accent5"/>
          <w:bottom w:val="single" w:sz="8" w:space="0" w:color="A5A5A5" w:themeColor="accent5"/>
          <w:right w:val="single" w:sz="8" w:space="0" w:color="A5A5A5" w:themeColor="accent5"/>
        </w:tcBorders>
      </w:tcPr>
    </w:tblStylePr>
    <w:tblStylePr w:type="band1Vert">
      <w:tblPr/>
      <w:tcPr>
        <w:tcBorders>
          <w:top w:val="single" w:sz="8" w:space="0" w:color="A5A5A5" w:themeColor="accent5"/>
          <w:left w:val="single" w:sz="8" w:space="0" w:color="A5A5A5" w:themeColor="accent5"/>
          <w:bottom w:val="single" w:sz="8" w:space="0" w:color="A5A5A5" w:themeColor="accent5"/>
          <w:right w:val="single" w:sz="8" w:space="0" w:color="A5A5A5" w:themeColor="accent5"/>
        </w:tcBorders>
        <w:shd w:val="clear" w:color="auto" w:fill="E8E8E8" w:themeFill="accent5" w:themeFillTint="3F"/>
      </w:tcPr>
    </w:tblStylePr>
    <w:tblStylePr w:type="band1Horz">
      <w:tblPr/>
      <w:tcPr>
        <w:tcBorders>
          <w:top w:val="single" w:sz="8" w:space="0" w:color="A5A5A5" w:themeColor="accent5"/>
          <w:left w:val="single" w:sz="8" w:space="0" w:color="A5A5A5" w:themeColor="accent5"/>
          <w:bottom w:val="single" w:sz="8" w:space="0" w:color="A5A5A5" w:themeColor="accent5"/>
          <w:right w:val="single" w:sz="8" w:space="0" w:color="A5A5A5" w:themeColor="accent5"/>
          <w:insideV w:val="single" w:sz="8" w:space="0" w:color="A5A5A5" w:themeColor="accent5"/>
        </w:tcBorders>
        <w:shd w:val="clear" w:color="auto" w:fill="E8E8E8" w:themeFill="accent5" w:themeFillTint="3F"/>
      </w:tcPr>
    </w:tblStylePr>
    <w:tblStylePr w:type="band2Horz">
      <w:tblPr/>
      <w:tcPr>
        <w:tcBorders>
          <w:top w:val="single" w:sz="8" w:space="0" w:color="A5A5A5" w:themeColor="accent5"/>
          <w:left w:val="single" w:sz="8" w:space="0" w:color="A5A5A5" w:themeColor="accent5"/>
          <w:bottom w:val="single" w:sz="8" w:space="0" w:color="A5A5A5" w:themeColor="accent5"/>
          <w:right w:val="single" w:sz="8" w:space="0" w:color="A5A5A5" w:themeColor="accent5"/>
          <w:insideV w:val="single" w:sz="8" w:space="0" w:color="A5A5A5" w:themeColor="accent5"/>
        </w:tcBorders>
      </w:tcPr>
    </w:tblStylePr>
  </w:style>
  <w:style w:type="table" w:styleId="LightGrid-Accent1">
    <w:name w:val="Light Grid Accent 1"/>
    <w:basedOn w:val="TableNormal"/>
    <w:uiPriority w:val="62"/>
    <w:unhideWhenUsed/>
    <w:rsid w:val="00F053F8"/>
    <w:rPr>
      <w:sz w:val="22"/>
      <w:szCs w:val="22"/>
      <w:lang w:val="en-US"/>
    </w:rPr>
    <w:tblPr>
      <w:tblStyleRowBandSize w:val="1"/>
      <w:tblStyleColBandSize w:val="1"/>
      <w:tblBorders>
        <w:top w:val="single" w:sz="8" w:space="0" w:color="EE7203" w:themeColor="accent1"/>
        <w:left w:val="single" w:sz="8" w:space="0" w:color="EE7203" w:themeColor="accent1"/>
        <w:bottom w:val="single" w:sz="8" w:space="0" w:color="EE7203" w:themeColor="accent1"/>
        <w:right w:val="single" w:sz="8" w:space="0" w:color="EE7203" w:themeColor="accent1"/>
        <w:insideH w:val="single" w:sz="8" w:space="0" w:color="EE7203" w:themeColor="accent1"/>
        <w:insideV w:val="single" w:sz="8" w:space="0" w:color="EE720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E7203" w:themeColor="accent1"/>
          <w:left w:val="single" w:sz="8" w:space="0" w:color="EE7203" w:themeColor="accent1"/>
          <w:bottom w:val="single" w:sz="18" w:space="0" w:color="EE7203" w:themeColor="accent1"/>
          <w:right w:val="single" w:sz="8" w:space="0" w:color="EE7203" w:themeColor="accent1"/>
          <w:insideH w:val="nil"/>
          <w:insideV w:val="single" w:sz="8" w:space="0" w:color="EE720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E7203" w:themeColor="accent1"/>
          <w:left w:val="single" w:sz="8" w:space="0" w:color="EE7203" w:themeColor="accent1"/>
          <w:bottom w:val="single" w:sz="8" w:space="0" w:color="EE7203" w:themeColor="accent1"/>
          <w:right w:val="single" w:sz="8" w:space="0" w:color="EE7203" w:themeColor="accent1"/>
          <w:insideH w:val="nil"/>
          <w:insideV w:val="single" w:sz="8" w:space="0" w:color="EE720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E7203" w:themeColor="accent1"/>
          <w:left w:val="single" w:sz="8" w:space="0" w:color="EE7203" w:themeColor="accent1"/>
          <w:bottom w:val="single" w:sz="8" w:space="0" w:color="EE7203" w:themeColor="accent1"/>
          <w:right w:val="single" w:sz="8" w:space="0" w:color="EE7203" w:themeColor="accent1"/>
        </w:tcBorders>
      </w:tcPr>
    </w:tblStylePr>
    <w:tblStylePr w:type="band1Vert">
      <w:tblPr/>
      <w:tcPr>
        <w:tcBorders>
          <w:top w:val="single" w:sz="8" w:space="0" w:color="EE7203" w:themeColor="accent1"/>
          <w:left w:val="single" w:sz="8" w:space="0" w:color="EE7203" w:themeColor="accent1"/>
          <w:bottom w:val="single" w:sz="8" w:space="0" w:color="EE7203" w:themeColor="accent1"/>
          <w:right w:val="single" w:sz="8" w:space="0" w:color="EE7203" w:themeColor="accent1"/>
        </w:tcBorders>
        <w:shd w:val="clear" w:color="auto" w:fill="FEDBBD" w:themeFill="accent1" w:themeFillTint="3F"/>
      </w:tcPr>
    </w:tblStylePr>
    <w:tblStylePr w:type="band1Horz">
      <w:tblPr/>
      <w:tcPr>
        <w:tcBorders>
          <w:top w:val="single" w:sz="8" w:space="0" w:color="EE7203" w:themeColor="accent1"/>
          <w:left w:val="single" w:sz="8" w:space="0" w:color="EE7203" w:themeColor="accent1"/>
          <w:bottom w:val="single" w:sz="8" w:space="0" w:color="EE7203" w:themeColor="accent1"/>
          <w:right w:val="single" w:sz="8" w:space="0" w:color="EE7203" w:themeColor="accent1"/>
          <w:insideV w:val="single" w:sz="8" w:space="0" w:color="EE7203" w:themeColor="accent1"/>
        </w:tcBorders>
        <w:shd w:val="clear" w:color="auto" w:fill="FEDBBD" w:themeFill="accent1" w:themeFillTint="3F"/>
      </w:tcPr>
    </w:tblStylePr>
    <w:tblStylePr w:type="band2Horz">
      <w:tblPr/>
      <w:tcPr>
        <w:tcBorders>
          <w:top w:val="single" w:sz="8" w:space="0" w:color="EE7203" w:themeColor="accent1"/>
          <w:left w:val="single" w:sz="8" w:space="0" w:color="EE7203" w:themeColor="accent1"/>
          <w:bottom w:val="single" w:sz="8" w:space="0" w:color="EE7203" w:themeColor="accent1"/>
          <w:right w:val="single" w:sz="8" w:space="0" w:color="EE7203" w:themeColor="accent1"/>
          <w:insideV w:val="single" w:sz="8" w:space="0" w:color="EE7203" w:themeColor="accent1"/>
        </w:tcBorders>
      </w:tcPr>
    </w:tblStylePr>
  </w:style>
  <w:style w:type="paragraph" w:styleId="Caption">
    <w:name w:val="caption"/>
    <w:basedOn w:val="Normal"/>
    <w:next w:val="Normal"/>
    <w:uiPriority w:val="35"/>
    <w:unhideWhenUsed/>
    <w:qFormat/>
    <w:rsid w:val="00BF26F2"/>
    <w:pPr>
      <w:spacing w:before="0" w:after="200"/>
    </w:pPr>
    <w:rPr>
      <w:i/>
      <w:iCs/>
      <w:color w:val="FFFFFF" w:themeColor="text2"/>
      <w:sz w:val="18"/>
      <w:szCs w:val="18"/>
    </w:rPr>
  </w:style>
  <w:style w:type="paragraph" w:styleId="TableofFigures">
    <w:name w:val="table of figures"/>
    <w:basedOn w:val="Normal"/>
    <w:next w:val="Normal"/>
    <w:uiPriority w:val="99"/>
    <w:unhideWhenUsed/>
    <w:rsid w:val="00BF26F2"/>
    <w:pPr>
      <w:spacing w:after="0"/>
    </w:pPr>
  </w:style>
  <w:style w:type="character" w:styleId="Mention">
    <w:name w:val="Mention"/>
    <w:basedOn w:val="DefaultParagraphFont"/>
    <w:uiPriority w:val="99"/>
    <w:unhideWhenUsed/>
    <w:rPr>
      <w:color w:val="2B579A"/>
      <w:shd w:val="clear" w:color="auto" w:fill="E6E6E6"/>
    </w:rPr>
  </w:style>
  <w:style w:type="paragraph" w:customStyle="1" w:styleId="OrangeTitle">
    <w:name w:val="OrangeTitle"/>
    <w:basedOn w:val="Normal"/>
    <w:qFormat/>
    <w:rsid w:val="000513F7"/>
    <w:pPr>
      <w:spacing w:line="276" w:lineRule="auto"/>
      <w:jc w:val="center"/>
    </w:pPr>
    <w:rPr>
      <w:b/>
      <w:bCs/>
      <w:i/>
      <w:iCs/>
      <w:color w:val="EF8300"/>
      <w:sz w:val="28"/>
      <w:szCs w:val="28"/>
    </w:rPr>
  </w:style>
  <w:style w:type="paragraph" w:customStyle="1" w:styleId="TableCaption">
    <w:name w:val="Table Caption"/>
    <w:basedOn w:val="Caption"/>
    <w:qFormat/>
    <w:rsid w:val="007D5DE0"/>
    <w:pPr>
      <w:keepNext/>
      <w:spacing w:line="276" w:lineRule="auto"/>
    </w:pPr>
    <w:rPr>
      <w:color w:val="000000" w:themeColor="text1"/>
      <w:sz w:val="24"/>
      <w:szCs w:val="24"/>
    </w:rPr>
  </w:style>
  <w:style w:type="paragraph" w:customStyle="1" w:styleId="ImageCaption">
    <w:name w:val="Image Caption"/>
    <w:basedOn w:val="Caption"/>
    <w:qFormat/>
    <w:rsid w:val="00122583"/>
    <w:rPr>
      <w:color w:val="000000" w:themeColor="text1"/>
      <w:sz w:val="24"/>
      <w:szCs w:val="24"/>
    </w:rPr>
  </w:style>
  <w:style w:type="numbering" w:customStyle="1" w:styleId="CurrentList1">
    <w:name w:val="Current List1"/>
    <w:uiPriority w:val="99"/>
    <w:rsid w:val="0076334C"/>
    <w:pPr>
      <w:numPr>
        <w:numId w:val="5"/>
      </w:numPr>
    </w:pPr>
  </w:style>
  <w:style w:type="numbering" w:customStyle="1" w:styleId="CurrentList2">
    <w:name w:val="Current List2"/>
    <w:uiPriority w:val="99"/>
    <w:rsid w:val="00426B3E"/>
    <w:pPr>
      <w:numPr>
        <w:numId w:val="6"/>
      </w:numPr>
    </w:pPr>
  </w:style>
  <w:style w:type="numbering" w:customStyle="1" w:styleId="CurrentList3">
    <w:name w:val="Current List3"/>
    <w:uiPriority w:val="99"/>
    <w:rsid w:val="00426B3E"/>
    <w:pPr>
      <w:numPr>
        <w:numId w:val="7"/>
      </w:numPr>
    </w:pPr>
  </w:style>
  <w:style w:type="numbering" w:customStyle="1" w:styleId="CurrentList4">
    <w:name w:val="Current List4"/>
    <w:uiPriority w:val="99"/>
    <w:rsid w:val="00426B3E"/>
    <w:pPr>
      <w:numPr>
        <w:numId w:val="8"/>
      </w:numPr>
    </w:pPr>
  </w:style>
  <w:style w:type="numbering" w:customStyle="1" w:styleId="CurrentList5">
    <w:name w:val="Current List5"/>
    <w:uiPriority w:val="99"/>
    <w:rsid w:val="00426B3E"/>
    <w:pPr>
      <w:numPr>
        <w:numId w:val="9"/>
      </w:numPr>
    </w:pPr>
  </w:style>
  <w:style w:type="numbering" w:customStyle="1" w:styleId="CurrentList6">
    <w:name w:val="Current List6"/>
    <w:uiPriority w:val="99"/>
    <w:rsid w:val="00426B3E"/>
    <w:pPr>
      <w:numPr>
        <w:numId w:val="10"/>
      </w:numPr>
    </w:pPr>
  </w:style>
  <w:style w:type="numbering" w:customStyle="1" w:styleId="CurrentList7">
    <w:name w:val="Current List7"/>
    <w:uiPriority w:val="99"/>
    <w:rsid w:val="00426B3E"/>
    <w:pPr>
      <w:numPr>
        <w:numId w:val="11"/>
      </w:numPr>
    </w:pPr>
  </w:style>
  <w:style w:type="numbering" w:customStyle="1" w:styleId="CurrentList8">
    <w:name w:val="Current List8"/>
    <w:uiPriority w:val="99"/>
    <w:rsid w:val="00426B3E"/>
    <w:pPr>
      <w:numPr>
        <w:numId w:val="12"/>
      </w:numPr>
    </w:pPr>
  </w:style>
  <w:style w:type="paragraph" w:customStyle="1" w:styleId="H1nonum">
    <w:name w:val="H1nonum"/>
    <w:basedOn w:val="Heading1"/>
    <w:qFormat/>
    <w:rsid w:val="00494CF4"/>
    <w:pPr>
      <w:numPr>
        <w:numId w:val="0"/>
      </w:numPr>
    </w:pPr>
  </w:style>
  <w:style w:type="paragraph" w:customStyle="1" w:styleId="H1letter">
    <w:name w:val="H1letter"/>
    <w:basedOn w:val="Heading1"/>
    <w:qFormat/>
    <w:rsid w:val="00FD77F0"/>
    <w:pPr>
      <w:numPr>
        <w:numId w:val="16"/>
      </w:numPr>
    </w:pPr>
    <w:rPr>
      <w:color w:val="000000" w:themeColor="text1"/>
      <w:sz w:val="26"/>
      <w:u w:val="single"/>
    </w:rPr>
  </w:style>
  <w:style w:type="numbering" w:customStyle="1" w:styleId="CurrentList9">
    <w:name w:val="Current List9"/>
    <w:uiPriority w:val="99"/>
    <w:rsid w:val="00581866"/>
    <w:pPr>
      <w:numPr>
        <w:numId w:val="14"/>
      </w:numPr>
    </w:pPr>
  </w:style>
  <w:style w:type="numbering" w:customStyle="1" w:styleId="CurrentList10">
    <w:name w:val="Current List10"/>
    <w:uiPriority w:val="99"/>
    <w:rsid w:val="00F25A32"/>
    <w:pPr>
      <w:numPr>
        <w:numId w:val="15"/>
      </w:numPr>
    </w:pPr>
  </w:style>
  <w:style w:type="numbering" w:customStyle="1" w:styleId="CurrentList11">
    <w:name w:val="Current List11"/>
    <w:uiPriority w:val="99"/>
    <w:rsid w:val="00FD77F0"/>
    <w:pPr>
      <w:numPr>
        <w:numId w:val="17"/>
      </w:numPr>
    </w:pPr>
  </w:style>
  <w:style w:type="numbering" w:customStyle="1" w:styleId="CurrentList12">
    <w:name w:val="Current List12"/>
    <w:uiPriority w:val="99"/>
    <w:rsid w:val="00FD77F0"/>
    <w:pPr>
      <w:numPr>
        <w:numId w:val="18"/>
      </w:numPr>
    </w:pPr>
  </w:style>
  <w:style w:type="numbering" w:customStyle="1" w:styleId="CurrentList13">
    <w:name w:val="Current List13"/>
    <w:uiPriority w:val="99"/>
    <w:rsid w:val="00494CF4"/>
    <w:pPr>
      <w:numPr>
        <w:numId w:val="19"/>
      </w:numPr>
    </w:pPr>
  </w:style>
  <w:style w:type="character" w:customStyle="1" w:styleId="Heading5Char">
    <w:name w:val="Heading 5 Char"/>
    <w:basedOn w:val="DefaultParagraphFont"/>
    <w:link w:val="Heading5"/>
    <w:uiPriority w:val="9"/>
    <w:rsid w:val="006C7EA9"/>
    <w:rPr>
      <w:rFonts w:asciiTheme="majorHAnsi" w:eastAsiaTheme="majorEastAsia" w:hAnsiTheme="majorHAnsi" w:cstheme="majorBidi"/>
      <w:i/>
      <w:color w:val="B25502" w:themeColor="accent1" w:themeShade="BF"/>
    </w:rPr>
  </w:style>
  <w:style w:type="paragraph" w:customStyle="1" w:styleId="SourceCode">
    <w:name w:val="Source Code"/>
    <w:basedOn w:val="Normal"/>
    <w:pPr>
      <w:shd w:val="clear" w:color="auto" w:fill="F8F8F8"/>
      <w:wordWrap w:val="0"/>
    </w:pPr>
  </w:style>
  <w:style w:type="character" w:customStyle="1" w:styleId="KeywordTok">
    <w:name w:val="KeywordTok"/>
    <w:rPr>
      <w:b/>
      <w:color w:val="204A87"/>
      <w:shd w:val="clear" w:color="auto" w:fill="F8F8F8"/>
    </w:rPr>
  </w:style>
  <w:style w:type="character" w:customStyle="1" w:styleId="DataTypeTok">
    <w:name w:val="DataTypeTok"/>
    <w:rPr>
      <w:color w:val="204A87"/>
      <w:shd w:val="clear" w:color="auto" w:fill="F8F8F8"/>
    </w:rPr>
  </w:style>
  <w:style w:type="character" w:customStyle="1" w:styleId="DecValTok">
    <w:name w:val="DecValTok"/>
    <w:rPr>
      <w:color w:val="0000CF"/>
      <w:shd w:val="clear" w:color="auto" w:fill="F8F8F8"/>
    </w:rPr>
  </w:style>
  <w:style w:type="character" w:customStyle="1" w:styleId="BaseNTok">
    <w:name w:val="BaseNTok"/>
    <w:rPr>
      <w:color w:val="0000CF"/>
      <w:shd w:val="clear" w:color="auto" w:fill="F8F8F8"/>
    </w:rPr>
  </w:style>
  <w:style w:type="character" w:customStyle="1" w:styleId="FloatTok">
    <w:name w:val="FloatTok"/>
    <w:rPr>
      <w:color w:val="0000CF"/>
      <w:shd w:val="clear" w:color="auto" w:fill="F8F8F8"/>
    </w:rPr>
  </w:style>
  <w:style w:type="character" w:customStyle="1" w:styleId="ConstantTok">
    <w:name w:val="ConstantTok"/>
    <w:rPr>
      <w:color w:val="8F5902"/>
      <w:shd w:val="clear" w:color="auto" w:fill="F8F8F8"/>
    </w:rPr>
  </w:style>
  <w:style w:type="character" w:customStyle="1" w:styleId="CharTok">
    <w:name w:val="CharTok"/>
    <w:rPr>
      <w:color w:val="4E9A06"/>
      <w:shd w:val="clear" w:color="auto" w:fill="F8F8F8"/>
    </w:rPr>
  </w:style>
  <w:style w:type="character" w:customStyle="1" w:styleId="SpecialCharTok">
    <w:name w:val="SpecialCharTok"/>
    <w:rPr>
      <w:b/>
      <w:color w:val="CE5C00"/>
      <w:shd w:val="clear" w:color="auto" w:fill="F8F8F8"/>
    </w:rPr>
  </w:style>
  <w:style w:type="character" w:customStyle="1" w:styleId="StringTok">
    <w:name w:val="StringTok"/>
    <w:rPr>
      <w:color w:val="4E9A06"/>
      <w:shd w:val="clear" w:color="auto" w:fill="F8F8F8"/>
    </w:rPr>
  </w:style>
  <w:style w:type="character" w:customStyle="1" w:styleId="VerbatimStringTok">
    <w:name w:val="VerbatimStringTok"/>
    <w:rPr>
      <w:color w:val="4E9A06"/>
      <w:shd w:val="clear" w:color="auto" w:fill="F8F8F8"/>
    </w:rPr>
  </w:style>
  <w:style w:type="character" w:customStyle="1" w:styleId="SpecialStringTok">
    <w:name w:val="SpecialStringTok"/>
    <w:rPr>
      <w:color w:val="4E9A06"/>
      <w:shd w:val="clear" w:color="auto" w:fill="F8F8F8"/>
    </w:rPr>
  </w:style>
  <w:style w:type="character" w:customStyle="1" w:styleId="ImportTok">
    <w:name w:val="ImportTok"/>
    <w:rPr>
      <w:shd w:val="clear" w:color="auto" w:fill="F8F8F8"/>
    </w:rPr>
  </w:style>
  <w:style w:type="character" w:customStyle="1" w:styleId="CommentTok">
    <w:name w:val="CommentTok"/>
    <w:rPr>
      <w:i/>
      <w:color w:val="8F5902"/>
      <w:shd w:val="clear" w:color="auto" w:fill="F8F8F8"/>
    </w:rPr>
  </w:style>
  <w:style w:type="character" w:customStyle="1" w:styleId="DocumentationTok">
    <w:name w:val="DocumentationTok"/>
    <w:rPr>
      <w:b/>
      <w:i/>
      <w:color w:val="8F5902"/>
      <w:shd w:val="clear" w:color="auto" w:fill="F8F8F8"/>
    </w:rPr>
  </w:style>
  <w:style w:type="character" w:customStyle="1" w:styleId="AnnotationTok">
    <w:name w:val="AnnotationTok"/>
    <w:rPr>
      <w:b/>
      <w:i/>
      <w:color w:val="8F5902"/>
      <w:shd w:val="clear" w:color="auto" w:fill="F8F8F8"/>
    </w:rPr>
  </w:style>
  <w:style w:type="character" w:customStyle="1" w:styleId="CommentVarTok">
    <w:name w:val="CommentVarTok"/>
    <w:rPr>
      <w:b/>
      <w:i/>
      <w:color w:val="8F5902"/>
      <w:shd w:val="clear" w:color="auto" w:fill="F8F8F8"/>
    </w:rPr>
  </w:style>
  <w:style w:type="character" w:customStyle="1" w:styleId="OtherTok">
    <w:name w:val="OtherTok"/>
    <w:rPr>
      <w:color w:val="8F5902"/>
      <w:shd w:val="clear" w:color="auto" w:fill="F8F8F8"/>
    </w:rPr>
  </w:style>
  <w:style w:type="character" w:customStyle="1" w:styleId="FunctionTok">
    <w:name w:val="FunctionTok"/>
    <w:rPr>
      <w:b/>
      <w:color w:val="204A87"/>
      <w:shd w:val="clear" w:color="auto" w:fill="F8F8F8"/>
    </w:rPr>
  </w:style>
  <w:style w:type="character" w:customStyle="1" w:styleId="VariableTok">
    <w:name w:val="VariableTok"/>
    <w:rPr>
      <w:color w:val="000000"/>
      <w:shd w:val="clear" w:color="auto" w:fill="F8F8F8"/>
    </w:rPr>
  </w:style>
  <w:style w:type="character" w:customStyle="1" w:styleId="ControlFlowTok">
    <w:name w:val="ControlFlowTok"/>
    <w:rPr>
      <w:b/>
      <w:color w:val="204A87"/>
      <w:shd w:val="clear" w:color="auto" w:fill="F8F8F8"/>
    </w:rPr>
  </w:style>
  <w:style w:type="character" w:customStyle="1" w:styleId="OperatorTok">
    <w:name w:val="OperatorTok"/>
    <w:rPr>
      <w:b/>
      <w:color w:val="CE5C00"/>
      <w:shd w:val="clear" w:color="auto" w:fill="F8F8F8"/>
    </w:rPr>
  </w:style>
  <w:style w:type="character" w:customStyle="1" w:styleId="BuiltInTok">
    <w:name w:val="BuiltInTok"/>
    <w:rPr>
      <w:shd w:val="clear" w:color="auto" w:fill="F8F8F8"/>
    </w:rPr>
  </w:style>
  <w:style w:type="character" w:customStyle="1" w:styleId="ExtensionTok">
    <w:name w:val="ExtensionTok"/>
    <w:rPr>
      <w:shd w:val="clear" w:color="auto" w:fill="F8F8F8"/>
    </w:rPr>
  </w:style>
  <w:style w:type="character" w:customStyle="1" w:styleId="PreprocessorTok">
    <w:name w:val="PreprocessorTok"/>
    <w:rPr>
      <w:i/>
      <w:color w:val="8F5902"/>
      <w:shd w:val="clear" w:color="auto" w:fill="F8F8F8"/>
    </w:rPr>
  </w:style>
  <w:style w:type="character" w:customStyle="1" w:styleId="AttributeTok">
    <w:name w:val="AttributeTok"/>
    <w:rPr>
      <w:color w:val="204A87"/>
      <w:shd w:val="clear" w:color="auto" w:fill="F8F8F8"/>
    </w:rPr>
  </w:style>
  <w:style w:type="character" w:customStyle="1" w:styleId="RegionMarkerTok">
    <w:name w:val="RegionMarkerTok"/>
    <w:rPr>
      <w:shd w:val="clear" w:color="auto" w:fill="F8F8F8"/>
    </w:rPr>
  </w:style>
  <w:style w:type="character" w:customStyle="1" w:styleId="InformationTok">
    <w:name w:val="InformationTok"/>
    <w:rPr>
      <w:b/>
      <w:i/>
      <w:color w:val="8F5902"/>
      <w:shd w:val="clear" w:color="auto" w:fill="F8F8F8"/>
    </w:rPr>
  </w:style>
  <w:style w:type="character" w:customStyle="1" w:styleId="WarningTok">
    <w:name w:val="WarningTok"/>
    <w:rPr>
      <w:b/>
      <w:i/>
      <w:color w:val="8F5902"/>
      <w:shd w:val="clear" w:color="auto" w:fill="F8F8F8"/>
    </w:rPr>
  </w:style>
  <w:style w:type="character" w:customStyle="1" w:styleId="AlertTok">
    <w:name w:val="AlertTok"/>
    <w:rPr>
      <w:color w:val="EF2929"/>
      <w:shd w:val="clear" w:color="auto" w:fill="F8F8F8"/>
    </w:rPr>
  </w:style>
  <w:style w:type="character" w:customStyle="1" w:styleId="ErrorTok">
    <w:name w:val="ErrorTok"/>
    <w:rPr>
      <w:b/>
      <w:color w:val="A40000"/>
      <w:shd w:val="clear" w:color="auto" w:fill="F8F8F8"/>
    </w:rPr>
  </w:style>
  <w:style w:type="character" w:customStyle="1" w:styleId="NormalTok">
    <w:name w:val="NormalTok"/>
    <w:rPr>
      <w:shd w:val="clear" w:color="auto" w:fill="F8F8F8"/>
    </w:rPr>
  </w:style>
  <w:style w:type="paragraph" w:customStyle="1" w:styleId="BVIfnrCharCharCharCharCharCharCharCharCharCharCharCharCharCharCharCharCharChar1">
    <w:name w:val="BVI fnr Char Char Char Char Char Char Char Char Char Char Char Char Char Char Char Char Char Char1"/>
    <w:aliases w:val="BVI fnr Char Char Char Char Char Char Char Char Char Char Char Char Char Char Char Char Char Char Char Char Char Char"/>
    <w:basedOn w:val="Normal"/>
    <w:link w:val="FootnoteReference"/>
    <w:uiPriority w:val="99"/>
    <w:rsid w:val="00134E51"/>
    <w:pPr>
      <w:spacing w:before="0" w:after="160" w:line="240" w:lineRule="exact"/>
      <w:jc w:val="both"/>
    </w:pPr>
    <w:rPr>
      <w:rFonts w:asciiTheme="minorHAnsi" w:hAnsiTheme="minorHAnsi"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1538">
      <w:bodyDiv w:val="1"/>
      <w:marLeft w:val="0"/>
      <w:marRight w:val="0"/>
      <w:marTop w:val="0"/>
      <w:marBottom w:val="0"/>
      <w:divBdr>
        <w:top w:val="none" w:sz="0" w:space="0" w:color="auto"/>
        <w:left w:val="none" w:sz="0" w:space="0" w:color="auto"/>
        <w:bottom w:val="none" w:sz="0" w:space="0" w:color="auto"/>
        <w:right w:val="none" w:sz="0" w:space="0" w:color="auto"/>
      </w:divBdr>
    </w:div>
    <w:div w:id="364251813">
      <w:bodyDiv w:val="1"/>
      <w:marLeft w:val="0"/>
      <w:marRight w:val="0"/>
      <w:marTop w:val="0"/>
      <w:marBottom w:val="0"/>
      <w:divBdr>
        <w:top w:val="none" w:sz="0" w:space="0" w:color="auto"/>
        <w:left w:val="none" w:sz="0" w:space="0" w:color="auto"/>
        <w:bottom w:val="none" w:sz="0" w:space="0" w:color="auto"/>
        <w:right w:val="none" w:sz="0" w:space="0" w:color="auto"/>
      </w:divBdr>
    </w:div>
    <w:div w:id="431825062">
      <w:bodyDiv w:val="1"/>
      <w:marLeft w:val="0"/>
      <w:marRight w:val="0"/>
      <w:marTop w:val="0"/>
      <w:marBottom w:val="0"/>
      <w:divBdr>
        <w:top w:val="none" w:sz="0" w:space="0" w:color="auto"/>
        <w:left w:val="none" w:sz="0" w:space="0" w:color="auto"/>
        <w:bottom w:val="none" w:sz="0" w:space="0" w:color="auto"/>
        <w:right w:val="none" w:sz="0" w:space="0" w:color="auto"/>
      </w:divBdr>
      <w:divsChild>
        <w:div w:id="1680737861">
          <w:marLeft w:val="0"/>
          <w:marRight w:val="0"/>
          <w:marTop w:val="0"/>
          <w:marBottom w:val="0"/>
          <w:divBdr>
            <w:top w:val="none" w:sz="0" w:space="0" w:color="auto"/>
            <w:left w:val="none" w:sz="0" w:space="0" w:color="auto"/>
            <w:bottom w:val="none" w:sz="0" w:space="0" w:color="auto"/>
            <w:right w:val="none" w:sz="0" w:space="0" w:color="auto"/>
          </w:divBdr>
          <w:divsChild>
            <w:div w:id="1510833493">
              <w:marLeft w:val="0"/>
              <w:marRight w:val="0"/>
              <w:marTop w:val="0"/>
              <w:marBottom w:val="0"/>
              <w:divBdr>
                <w:top w:val="none" w:sz="0" w:space="0" w:color="auto"/>
                <w:left w:val="none" w:sz="0" w:space="0" w:color="auto"/>
                <w:bottom w:val="none" w:sz="0" w:space="0" w:color="auto"/>
                <w:right w:val="none" w:sz="0" w:space="0" w:color="auto"/>
              </w:divBdr>
              <w:divsChild>
                <w:div w:id="140826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238234">
      <w:bodyDiv w:val="1"/>
      <w:marLeft w:val="0"/>
      <w:marRight w:val="0"/>
      <w:marTop w:val="0"/>
      <w:marBottom w:val="0"/>
      <w:divBdr>
        <w:top w:val="none" w:sz="0" w:space="0" w:color="auto"/>
        <w:left w:val="none" w:sz="0" w:space="0" w:color="auto"/>
        <w:bottom w:val="none" w:sz="0" w:space="0" w:color="auto"/>
        <w:right w:val="none" w:sz="0" w:space="0" w:color="auto"/>
      </w:divBdr>
    </w:div>
    <w:div w:id="609626845">
      <w:bodyDiv w:val="1"/>
      <w:marLeft w:val="0"/>
      <w:marRight w:val="0"/>
      <w:marTop w:val="0"/>
      <w:marBottom w:val="0"/>
      <w:divBdr>
        <w:top w:val="none" w:sz="0" w:space="0" w:color="auto"/>
        <w:left w:val="none" w:sz="0" w:space="0" w:color="auto"/>
        <w:bottom w:val="none" w:sz="0" w:space="0" w:color="auto"/>
        <w:right w:val="none" w:sz="0" w:space="0" w:color="auto"/>
      </w:divBdr>
    </w:div>
    <w:div w:id="719718350">
      <w:bodyDiv w:val="1"/>
      <w:marLeft w:val="0"/>
      <w:marRight w:val="0"/>
      <w:marTop w:val="0"/>
      <w:marBottom w:val="0"/>
      <w:divBdr>
        <w:top w:val="none" w:sz="0" w:space="0" w:color="auto"/>
        <w:left w:val="none" w:sz="0" w:space="0" w:color="auto"/>
        <w:bottom w:val="none" w:sz="0" w:space="0" w:color="auto"/>
        <w:right w:val="none" w:sz="0" w:space="0" w:color="auto"/>
      </w:divBdr>
    </w:div>
    <w:div w:id="947397338">
      <w:bodyDiv w:val="1"/>
      <w:marLeft w:val="0"/>
      <w:marRight w:val="0"/>
      <w:marTop w:val="0"/>
      <w:marBottom w:val="0"/>
      <w:divBdr>
        <w:top w:val="none" w:sz="0" w:space="0" w:color="auto"/>
        <w:left w:val="none" w:sz="0" w:space="0" w:color="auto"/>
        <w:bottom w:val="none" w:sz="0" w:space="0" w:color="auto"/>
        <w:right w:val="none" w:sz="0" w:space="0" w:color="auto"/>
      </w:divBdr>
      <w:divsChild>
        <w:div w:id="2009407902">
          <w:marLeft w:val="0"/>
          <w:marRight w:val="0"/>
          <w:marTop w:val="0"/>
          <w:marBottom w:val="0"/>
          <w:divBdr>
            <w:top w:val="none" w:sz="0" w:space="0" w:color="auto"/>
            <w:left w:val="none" w:sz="0" w:space="0" w:color="auto"/>
            <w:bottom w:val="none" w:sz="0" w:space="0" w:color="auto"/>
            <w:right w:val="none" w:sz="0" w:space="0" w:color="auto"/>
          </w:divBdr>
          <w:divsChild>
            <w:div w:id="480195216">
              <w:marLeft w:val="0"/>
              <w:marRight w:val="0"/>
              <w:marTop w:val="0"/>
              <w:marBottom w:val="0"/>
              <w:divBdr>
                <w:top w:val="none" w:sz="0" w:space="0" w:color="auto"/>
                <w:left w:val="none" w:sz="0" w:space="0" w:color="auto"/>
                <w:bottom w:val="none" w:sz="0" w:space="0" w:color="auto"/>
                <w:right w:val="none" w:sz="0" w:space="0" w:color="auto"/>
              </w:divBdr>
              <w:divsChild>
                <w:div w:id="1759868507">
                  <w:marLeft w:val="0"/>
                  <w:marRight w:val="0"/>
                  <w:marTop w:val="0"/>
                  <w:marBottom w:val="0"/>
                  <w:divBdr>
                    <w:top w:val="none" w:sz="0" w:space="0" w:color="auto"/>
                    <w:left w:val="none" w:sz="0" w:space="0" w:color="auto"/>
                    <w:bottom w:val="none" w:sz="0" w:space="0" w:color="auto"/>
                    <w:right w:val="none" w:sz="0" w:space="0" w:color="auto"/>
                  </w:divBdr>
                </w:div>
              </w:divsChild>
            </w:div>
            <w:div w:id="210272073">
              <w:marLeft w:val="0"/>
              <w:marRight w:val="0"/>
              <w:marTop w:val="0"/>
              <w:marBottom w:val="0"/>
              <w:divBdr>
                <w:top w:val="none" w:sz="0" w:space="0" w:color="auto"/>
                <w:left w:val="none" w:sz="0" w:space="0" w:color="auto"/>
                <w:bottom w:val="none" w:sz="0" w:space="0" w:color="auto"/>
                <w:right w:val="none" w:sz="0" w:space="0" w:color="auto"/>
              </w:divBdr>
              <w:divsChild>
                <w:div w:id="1218978418">
                  <w:marLeft w:val="0"/>
                  <w:marRight w:val="0"/>
                  <w:marTop w:val="0"/>
                  <w:marBottom w:val="0"/>
                  <w:divBdr>
                    <w:top w:val="none" w:sz="0" w:space="0" w:color="auto"/>
                    <w:left w:val="none" w:sz="0" w:space="0" w:color="auto"/>
                    <w:bottom w:val="none" w:sz="0" w:space="0" w:color="auto"/>
                    <w:right w:val="none" w:sz="0" w:space="0" w:color="auto"/>
                  </w:divBdr>
                </w:div>
              </w:divsChild>
            </w:div>
            <w:div w:id="1192961957">
              <w:marLeft w:val="0"/>
              <w:marRight w:val="0"/>
              <w:marTop w:val="0"/>
              <w:marBottom w:val="0"/>
              <w:divBdr>
                <w:top w:val="none" w:sz="0" w:space="0" w:color="auto"/>
                <w:left w:val="none" w:sz="0" w:space="0" w:color="auto"/>
                <w:bottom w:val="none" w:sz="0" w:space="0" w:color="auto"/>
                <w:right w:val="none" w:sz="0" w:space="0" w:color="auto"/>
              </w:divBdr>
              <w:divsChild>
                <w:div w:id="903183577">
                  <w:marLeft w:val="0"/>
                  <w:marRight w:val="0"/>
                  <w:marTop w:val="0"/>
                  <w:marBottom w:val="0"/>
                  <w:divBdr>
                    <w:top w:val="none" w:sz="0" w:space="0" w:color="auto"/>
                    <w:left w:val="none" w:sz="0" w:space="0" w:color="auto"/>
                    <w:bottom w:val="none" w:sz="0" w:space="0" w:color="auto"/>
                    <w:right w:val="none" w:sz="0" w:space="0" w:color="auto"/>
                  </w:divBdr>
                </w:div>
              </w:divsChild>
            </w:div>
            <w:div w:id="933781084">
              <w:marLeft w:val="0"/>
              <w:marRight w:val="0"/>
              <w:marTop w:val="0"/>
              <w:marBottom w:val="0"/>
              <w:divBdr>
                <w:top w:val="none" w:sz="0" w:space="0" w:color="auto"/>
                <w:left w:val="none" w:sz="0" w:space="0" w:color="auto"/>
                <w:bottom w:val="none" w:sz="0" w:space="0" w:color="auto"/>
                <w:right w:val="none" w:sz="0" w:space="0" w:color="auto"/>
              </w:divBdr>
              <w:divsChild>
                <w:div w:id="1733693279">
                  <w:marLeft w:val="0"/>
                  <w:marRight w:val="0"/>
                  <w:marTop w:val="0"/>
                  <w:marBottom w:val="0"/>
                  <w:divBdr>
                    <w:top w:val="none" w:sz="0" w:space="0" w:color="auto"/>
                    <w:left w:val="none" w:sz="0" w:space="0" w:color="auto"/>
                    <w:bottom w:val="none" w:sz="0" w:space="0" w:color="auto"/>
                    <w:right w:val="none" w:sz="0" w:space="0" w:color="auto"/>
                  </w:divBdr>
                </w:div>
              </w:divsChild>
            </w:div>
            <w:div w:id="1949073190">
              <w:marLeft w:val="0"/>
              <w:marRight w:val="0"/>
              <w:marTop w:val="0"/>
              <w:marBottom w:val="0"/>
              <w:divBdr>
                <w:top w:val="none" w:sz="0" w:space="0" w:color="auto"/>
                <w:left w:val="none" w:sz="0" w:space="0" w:color="auto"/>
                <w:bottom w:val="none" w:sz="0" w:space="0" w:color="auto"/>
                <w:right w:val="none" w:sz="0" w:space="0" w:color="auto"/>
              </w:divBdr>
              <w:divsChild>
                <w:div w:id="225846181">
                  <w:marLeft w:val="0"/>
                  <w:marRight w:val="0"/>
                  <w:marTop w:val="0"/>
                  <w:marBottom w:val="0"/>
                  <w:divBdr>
                    <w:top w:val="none" w:sz="0" w:space="0" w:color="auto"/>
                    <w:left w:val="none" w:sz="0" w:space="0" w:color="auto"/>
                    <w:bottom w:val="none" w:sz="0" w:space="0" w:color="auto"/>
                    <w:right w:val="none" w:sz="0" w:space="0" w:color="auto"/>
                  </w:divBdr>
                </w:div>
              </w:divsChild>
            </w:div>
            <w:div w:id="1255869119">
              <w:marLeft w:val="0"/>
              <w:marRight w:val="0"/>
              <w:marTop w:val="0"/>
              <w:marBottom w:val="0"/>
              <w:divBdr>
                <w:top w:val="none" w:sz="0" w:space="0" w:color="auto"/>
                <w:left w:val="none" w:sz="0" w:space="0" w:color="auto"/>
                <w:bottom w:val="none" w:sz="0" w:space="0" w:color="auto"/>
                <w:right w:val="none" w:sz="0" w:space="0" w:color="auto"/>
              </w:divBdr>
              <w:divsChild>
                <w:div w:id="2071266857">
                  <w:marLeft w:val="0"/>
                  <w:marRight w:val="0"/>
                  <w:marTop w:val="0"/>
                  <w:marBottom w:val="0"/>
                  <w:divBdr>
                    <w:top w:val="none" w:sz="0" w:space="0" w:color="auto"/>
                    <w:left w:val="none" w:sz="0" w:space="0" w:color="auto"/>
                    <w:bottom w:val="none" w:sz="0" w:space="0" w:color="auto"/>
                    <w:right w:val="none" w:sz="0" w:space="0" w:color="auto"/>
                  </w:divBdr>
                </w:div>
              </w:divsChild>
            </w:div>
            <w:div w:id="219827678">
              <w:marLeft w:val="0"/>
              <w:marRight w:val="0"/>
              <w:marTop w:val="0"/>
              <w:marBottom w:val="0"/>
              <w:divBdr>
                <w:top w:val="none" w:sz="0" w:space="0" w:color="auto"/>
                <w:left w:val="none" w:sz="0" w:space="0" w:color="auto"/>
                <w:bottom w:val="none" w:sz="0" w:space="0" w:color="auto"/>
                <w:right w:val="none" w:sz="0" w:space="0" w:color="auto"/>
              </w:divBdr>
              <w:divsChild>
                <w:div w:id="1243954374">
                  <w:marLeft w:val="0"/>
                  <w:marRight w:val="0"/>
                  <w:marTop w:val="0"/>
                  <w:marBottom w:val="0"/>
                  <w:divBdr>
                    <w:top w:val="none" w:sz="0" w:space="0" w:color="auto"/>
                    <w:left w:val="none" w:sz="0" w:space="0" w:color="auto"/>
                    <w:bottom w:val="none" w:sz="0" w:space="0" w:color="auto"/>
                    <w:right w:val="none" w:sz="0" w:space="0" w:color="auto"/>
                  </w:divBdr>
                </w:div>
              </w:divsChild>
            </w:div>
            <w:div w:id="1020863156">
              <w:marLeft w:val="0"/>
              <w:marRight w:val="0"/>
              <w:marTop w:val="0"/>
              <w:marBottom w:val="0"/>
              <w:divBdr>
                <w:top w:val="none" w:sz="0" w:space="0" w:color="auto"/>
                <w:left w:val="none" w:sz="0" w:space="0" w:color="auto"/>
                <w:bottom w:val="none" w:sz="0" w:space="0" w:color="auto"/>
                <w:right w:val="none" w:sz="0" w:space="0" w:color="auto"/>
              </w:divBdr>
              <w:divsChild>
                <w:div w:id="373847646">
                  <w:marLeft w:val="0"/>
                  <w:marRight w:val="0"/>
                  <w:marTop w:val="0"/>
                  <w:marBottom w:val="0"/>
                  <w:divBdr>
                    <w:top w:val="none" w:sz="0" w:space="0" w:color="auto"/>
                    <w:left w:val="none" w:sz="0" w:space="0" w:color="auto"/>
                    <w:bottom w:val="none" w:sz="0" w:space="0" w:color="auto"/>
                    <w:right w:val="none" w:sz="0" w:space="0" w:color="auto"/>
                  </w:divBdr>
                </w:div>
                <w:div w:id="248195878">
                  <w:marLeft w:val="0"/>
                  <w:marRight w:val="0"/>
                  <w:marTop w:val="0"/>
                  <w:marBottom w:val="0"/>
                  <w:divBdr>
                    <w:top w:val="none" w:sz="0" w:space="0" w:color="auto"/>
                    <w:left w:val="none" w:sz="0" w:space="0" w:color="auto"/>
                    <w:bottom w:val="none" w:sz="0" w:space="0" w:color="auto"/>
                    <w:right w:val="none" w:sz="0" w:space="0" w:color="auto"/>
                  </w:divBdr>
                </w:div>
                <w:div w:id="1710179843">
                  <w:marLeft w:val="0"/>
                  <w:marRight w:val="0"/>
                  <w:marTop w:val="0"/>
                  <w:marBottom w:val="0"/>
                  <w:divBdr>
                    <w:top w:val="none" w:sz="0" w:space="0" w:color="auto"/>
                    <w:left w:val="none" w:sz="0" w:space="0" w:color="auto"/>
                    <w:bottom w:val="none" w:sz="0" w:space="0" w:color="auto"/>
                    <w:right w:val="none" w:sz="0" w:space="0" w:color="auto"/>
                  </w:divBdr>
                </w:div>
                <w:div w:id="254439019">
                  <w:marLeft w:val="0"/>
                  <w:marRight w:val="0"/>
                  <w:marTop w:val="0"/>
                  <w:marBottom w:val="0"/>
                  <w:divBdr>
                    <w:top w:val="none" w:sz="0" w:space="0" w:color="auto"/>
                    <w:left w:val="none" w:sz="0" w:space="0" w:color="auto"/>
                    <w:bottom w:val="none" w:sz="0" w:space="0" w:color="auto"/>
                    <w:right w:val="none" w:sz="0" w:space="0" w:color="auto"/>
                  </w:divBdr>
                </w:div>
                <w:div w:id="3968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5943">
      <w:bodyDiv w:val="1"/>
      <w:marLeft w:val="0"/>
      <w:marRight w:val="0"/>
      <w:marTop w:val="0"/>
      <w:marBottom w:val="0"/>
      <w:divBdr>
        <w:top w:val="none" w:sz="0" w:space="0" w:color="auto"/>
        <w:left w:val="none" w:sz="0" w:space="0" w:color="auto"/>
        <w:bottom w:val="none" w:sz="0" w:space="0" w:color="auto"/>
        <w:right w:val="none" w:sz="0" w:space="0" w:color="auto"/>
      </w:divBdr>
    </w:div>
    <w:div w:id="1389501154">
      <w:bodyDiv w:val="1"/>
      <w:marLeft w:val="0"/>
      <w:marRight w:val="0"/>
      <w:marTop w:val="0"/>
      <w:marBottom w:val="0"/>
      <w:divBdr>
        <w:top w:val="none" w:sz="0" w:space="0" w:color="auto"/>
        <w:left w:val="none" w:sz="0" w:space="0" w:color="auto"/>
        <w:bottom w:val="none" w:sz="0" w:space="0" w:color="auto"/>
        <w:right w:val="none" w:sz="0" w:space="0" w:color="auto"/>
      </w:divBdr>
    </w:div>
    <w:div w:id="1456169669">
      <w:bodyDiv w:val="1"/>
      <w:marLeft w:val="0"/>
      <w:marRight w:val="0"/>
      <w:marTop w:val="0"/>
      <w:marBottom w:val="0"/>
      <w:divBdr>
        <w:top w:val="none" w:sz="0" w:space="0" w:color="auto"/>
        <w:left w:val="none" w:sz="0" w:space="0" w:color="auto"/>
        <w:bottom w:val="none" w:sz="0" w:space="0" w:color="auto"/>
        <w:right w:val="none" w:sz="0" w:space="0" w:color="auto"/>
      </w:divBdr>
    </w:div>
    <w:div w:id="1485243501">
      <w:bodyDiv w:val="1"/>
      <w:marLeft w:val="0"/>
      <w:marRight w:val="0"/>
      <w:marTop w:val="0"/>
      <w:marBottom w:val="0"/>
      <w:divBdr>
        <w:top w:val="none" w:sz="0" w:space="0" w:color="auto"/>
        <w:left w:val="none" w:sz="0" w:space="0" w:color="auto"/>
        <w:bottom w:val="none" w:sz="0" w:space="0" w:color="auto"/>
        <w:right w:val="none" w:sz="0" w:space="0" w:color="auto"/>
      </w:divBdr>
    </w:div>
    <w:div w:id="1540316967">
      <w:bodyDiv w:val="1"/>
      <w:marLeft w:val="0"/>
      <w:marRight w:val="0"/>
      <w:marTop w:val="0"/>
      <w:marBottom w:val="0"/>
      <w:divBdr>
        <w:top w:val="none" w:sz="0" w:space="0" w:color="auto"/>
        <w:left w:val="none" w:sz="0" w:space="0" w:color="auto"/>
        <w:bottom w:val="none" w:sz="0" w:space="0" w:color="auto"/>
        <w:right w:val="none" w:sz="0" w:space="0" w:color="auto"/>
      </w:divBdr>
    </w:div>
    <w:div w:id="1777598891">
      <w:bodyDiv w:val="1"/>
      <w:marLeft w:val="0"/>
      <w:marRight w:val="0"/>
      <w:marTop w:val="0"/>
      <w:marBottom w:val="0"/>
      <w:divBdr>
        <w:top w:val="none" w:sz="0" w:space="0" w:color="auto"/>
        <w:left w:val="none" w:sz="0" w:space="0" w:color="auto"/>
        <w:bottom w:val="none" w:sz="0" w:space="0" w:color="auto"/>
        <w:right w:val="none" w:sz="0" w:space="0" w:color="auto"/>
      </w:divBdr>
      <w:divsChild>
        <w:div w:id="100152793">
          <w:marLeft w:val="0"/>
          <w:marRight w:val="0"/>
          <w:marTop w:val="0"/>
          <w:marBottom w:val="0"/>
          <w:divBdr>
            <w:top w:val="none" w:sz="0" w:space="0" w:color="auto"/>
            <w:left w:val="none" w:sz="0" w:space="0" w:color="auto"/>
            <w:bottom w:val="none" w:sz="0" w:space="0" w:color="auto"/>
            <w:right w:val="none" w:sz="0" w:space="0" w:color="auto"/>
          </w:divBdr>
          <w:divsChild>
            <w:div w:id="285358604">
              <w:marLeft w:val="0"/>
              <w:marRight w:val="0"/>
              <w:marTop w:val="0"/>
              <w:marBottom w:val="0"/>
              <w:divBdr>
                <w:top w:val="none" w:sz="0" w:space="0" w:color="auto"/>
                <w:left w:val="none" w:sz="0" w:space="0" w:color="auto"/>
                <w:bottom w:val="none" w:sz="0" w:space="0" w:color="auto"/>
                <w:right w:val="none" w:sz="0" w:space="0" w:color="auto"/>
              </w:divBdr>
              <w:divsChild>
                <w:div w:id="119153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244157">
      <w:bodyDiv w:val="1"/>
      <w:marLeft w:val="0"/>
      <w:marRight w:val="0"/>
      <w:marTop w:val="0"/>
      <w:marBottom w:val="0"/>
      <w:divBdr>
        <w:top w:val="none" w:sz="0" w:space="0" w:color="auto"/>
        <w:left w:val="none" w:sz="0" w:space="0" w:color="auto"/>
        <w:bottom w:val="none" w:sz="0" w:space="0" w:color="auto"/>
        <w:right w:val="none" w:sz="0" w:space="0" w:color="auto"/>
      </w:divBdr>
      <w:divsChild>
        <w:div w:id="1026128754">
          <w:marLeft w:val="0"/>
          <w:marRight w:val="0"/>
          <w:marTop w:val="0"/>
          <w:marBottom w:val="0"/>
          <w:divBdr>
            <w:top w:val="none" w:sz="0" w:space="0" w:color="auto"/>
            <w:left w:val="none" w:sz="0" w:space="0" w:color="auto"/>
            <w:bottom w:val="none" w:sz="0" w:space="0" w:color="auto"/>
            <w:right w:val="none" w:sz="0" w:space="0" w:color="auto"/>
          </w:divBdr>
          <w:divsChild>
            <w:div w:id="1103190831">
              <w:marLeft w:val="0"/>
              <w:marRight w:val="0"/>
              <w:marTop w:val="0"/>
              <w:marBottom w:val="0"/>
              <w:divBdr>
                <w:top w:val="none" w:sz="0" w:space="0" w:color="auto"/>
                <w:left w:val="none" w:sz="0" w:space="0" w:color="auto"/>
                <w:bottom w:val="none" w:sz="0" w:space="0" w:color="auto"/>
                <w:right w:val="none" w:sz="0" w:space="0" w:color="auto"/>
              </w:divBdr>
              <w:divsChild>
                <w:div w:id="190815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jpeg"/><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package" Target="embeddings/Microsoft_Excel_Worksheet.xlsx"/><Relationship Id="rId8" Type="http://schemas.openxmlformats.org/officeDocument/2006/relationships/image" Target="media/image1.png"/></Relationships>
</file>

<file path=word/theme/theme1.xml><?xml version="1.0" encoding="utf-8"?>
<a:theme xmlns:a="http://schemas.openxmlformats.org/drawingml/2006/main" name="SMART">
  <a:themeElements>
    <a:clrScheme name="SMART">
      <a:dk1>
        <a:srgbClr val="000000"/>
      </a:dk1>
      <a:lt1>
        <a:srgbClr val="FFFFFF"/>
      </a:lt1>
      <a:dk2>
        <a:srgbClr val="FFFFFF"/>
      </a:dk2>
      <a:lt2>
        <a:srgbClr val="FFFFFF"/>
      </a:lt2>
      <a:accent1>
        <a:srgbClr val="EE7203"/>
      </a:accent1>
      <a:accent2>
        <a:srgbClr val="262626"/>
      </a:accent2>
      <a:accent3>
        <a:srgbClr val="595959"/>
      </a:accent3>
      <a:accent4>
        <a:srgbClr val="7F7F7F"/>
      </a:accent4>
      <a:accent5>
        <a:srgbClr val="A5A5A5"/>
      </a:accent5>
      <a:accent6>
        <a:srgbClr val="BFBFBF"/>
      </a:accent6>
      <a:hlink>
        <a:srgbClr val="D8D8D8"/>
      </a:hlink>
      <a:folHlink>
        <a:srgbClr val="F2F2F2"/>
      </a:folHlink>
    </a:clrScheme>
    <a:fontScheme name="SMART">
      <a:majorFont>
        <a:latin typeface="Nexa Bold"/>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EMPLATE PPT BRAND_ESP.potx" id="{00D8F79C-1762-4050-8658-B380D7E9AD1D}" vid="{FC7AA549-08BF-413B-91C7-2D4FAB3AFCD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11159-95DE-40CC-A568-63ACAA89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4584</TotalTime>
  <Pages>85</Pages>
  <Words>20342</Words>
  <Characters>115954</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136024</CharactersWithSpaces>
  <SharedDoc>false</SharedDoc>
  <HLinks>
    <vt:vector size="588" baseType="variant">
      <vt:variant>
        <vt:i4>1572925</vt:i4>
      </vt:variant>
      <vt:variant>
        <vt:i4>506</vt:i4>
      </vt:variant>
      <vt:variant>
        <vt:i4>0</vt:i4>
      </vt:variant>
      <vt:variant>
        <vt:i4>5</vt:i4>
      </vt:variant>
      <vt:variant>
        <vt:lpwstr/>
      </vt:variant>
      <vt:variant>
        <vt:lpwstr>_Toc108448030</vt:lpwstr>
      </vt:variant>
      <vt:variant>
        <vt:i4>1638461</vt:i4>
      </vt:variant>
      <vt:variant>
        <vt:i4>500</vt:i4>
      </vt:variant>
      <vt:variant>
        <vt:i4>0</vt:i4>
      </vt:variant>
      <vt:variant>
        <vt:i4>5</vt:i4>
      </vt:variant>
      <vt:variant>
        <vt:lpwstr/>
      </vt:variant>
      <vt:variant>
        <vt:lpwstr>_Toc108448029</vt:lpwstr>
      </vt:variant>
      <vt:variant>
        <vt:i4>1638461</vt:i4>
      </vt:variant>
      <vt:variant>
        <vt:i4>494</vt:i4>
      </vt:variant>
      <vt:variant>
        <vt:i4>0</vt:i4>
      </vt:variant>
      <vt:variant>
        <vt:i4>5</vt:i4>
      </vt:variant>
      <vt:variant>
        <vt:lpwstr/>
      </vt:variant>
      <vt:variant>
        <vt:lpwstr>_Toc108448028</vt:lpwstr>
      </vt:variant>
      <vt:variant>
        <vt:i4>1638461</vt:i4>
      </vt:variant>
      <vt:variant>
        <vt:i4>488</vt:i4>
      </vt:variant>
      <vt:variant>
        <vt:i4>0</vt:i4>
      </vt:variant>
      <vt:variant>
        <vt:i4>5</vt:i4>
      </vt:variant>
      <vt:variant>
        <vt:lpwstr/>
      </vt:variant>
      <vt:variant>
        <vt:lpwstr>_Toc108448027</vt:lpwstr>
      </vt:variant>
      <vt:variant>
        <vt:i4>1638461</vt:i4>
      </vt:variant>
      <vt:variant>
        <vt:i4>482</vt:i4>
      </vt:variant>
      <vt:variant>
        <vt:i4>0</vt:i4>
      </vt:variant>
      <vt:variant>
        <vt:i4>5</vt:i4>
      </vt:variant>
      <vt:variant>
        <vt:lpwstr/>
      </vt:variant>
      <vt:variant>
        <vt:lpwstr>_Toc108448026</vt:lpwstr>
      </vt:variant>
      <vt:variant>
        <vt:i4>1179708</vt:i4>
      </vt:variant>
      <vt:variant>
        <vt:i4>473</vt:i4>
      </vt:variant>
      <vt:variant>
        <vt:i4>0</vt:i4>
      </vt:variant>
      <vt:variant>
        <vt:i4>5</vt:i4>
      </vt:variant>
      <vt:variant>
        <vt:lpwstr/>
      </vt:variant>
      <vt:variant>
        <vt:lpwstr>_Toc102392642</vt:lpwstr>
      </vt:variant>
      <vt:variant>
        <vt:i4>1179708</vt:i4>
      </vt:variant>
      <vt:variant>
        <vt:i4>467</vt:i4>
      </vt:variant>
      <vt:variant>
        <vt:i4>0</vt:i4>
      </vt:variant>
      <vt:variant>
        <vt:i4>5</vt:i4>
      </vt:variant>
      <vt:variant>
        <vt:lpwstr/>
      </vt:variant>
      <vt:variant>
        <vt:lpwstr>_Toc102392641</vt:lpwstr>
      </vt:variant>
      <vt:variant>
        <vt:i4>1179708</vt:i4>
      </vt:variant>
      <vt:variant>
        <vt:i4>461</vt:i4>
      </vt:variant>
      <vt:variant>
        <vt:i4>0</vt:i4>
      </vt:variant>
      <vt:variant>
        <vt:i4>5</vt:i4>
      </vt:variant>
      <vt:variant>
        <vt:lpwstr/>
      </vt:variant>
      <vt:variant>
        <vt:lpwstr>_Toc102392640</vt:lpwstr>
      </vt:variant>
      <vt:variant>
        <vt:i4>1376316</vt:i4>
      </vt:variant>
      <vt:variant>
        <vt:i4>455</vt:i4>
      </vt:variant>
      <vt:variant>
        <vt:i4>0</vt:i4>
      </vt:variant>
      <vt:variant>
        <vt:i4>5</vt:i4>
      </vt:variant>
      <vt:variant>
        <vt:lpwstr/>
      </vt:variant>
      <vt:variant>
        <vt:lpwstr>_Toc102392639</vt:lpwstr>
      </vt:variant>
      <vt:variant>
        <vt:i4>1376316</vt:i4>
      </vt:variant>
      <vt:variant>
        <vt:i4>449</vt:i4>
      </vt:variant>
      <vt:variant>
        <vt:i4>0</vt:i4>
      </vt:variant>
      <vt:variant>
        <vt:i4>5</vt:i4>
      </vt:variant>
      <vt:variant>
        <vt:lpwstr/>
      </vt:variant>
      <vt:variant>
        <vt:lpwstr>_Toc102392638</vt:lpwstr>
      </vt:variant>
      <vt:variant>
        <vt:i4>1376316</vt:i4>
      </vt:variant>
      <vt:variant>
        <vt:i4>443</vt:i4>
      </vt:variant>
      <vt:variant>
        <vt:i4>0</vt:i4>
      </vt:variant>
      <vt:variant>
        <vt:i4>5</vt:i4>
      </vt:variant>
      <vt:variant>
        <vt:lpwstr/>
      </vt:variant>
      <vt:variant>
        <vt:lpwstr>_Toc102392637</vt:lpwstr>
      </vt:variant>
      <vt:variant>
        <vt:i4>1376316</vt:i4>
      </vt:variant>
      <vt:variant>
        <vt:i4>437</vt:i4>
      </vt:variant>
      <vt:variant>
        <vt:i4>0</vt:i4>
      </vt:variant>
      <vt:variant>
        <vt:i4>5</vt:i4>
      </vt:variant>
      <vt:variant>
        <vt:lpwstr/>
      </vt:variant>
      <vt:variant>
        <vt:lpwstr>_Toc102392636</vt:lpwstr>
      </vt:variant>
      <vt:variant>
        <vt:i4>1376316</vt:i4>
      </vt:variant>
      <vt:variant>
        <vt:i4>431</vt:i4>
      </vt:variant>
      <vt:variant>
        <vt:i4>0</vt:i4>
      </vt:variant>
      <vt:variant>
        <vt:i4>5</vt:i4>
      </vt:variant>
      <vt:variant>
        <vt:lpwstr/>
      </vt:variant>
      <vt:variant>
        <vt:lpwstr>_Toc102392635</vt:lpwstr>
      </vt:variant>
      <vt:variant>
        <vt:i4>1376316</vt:i4>
      </vt:variant>
      <vt:variant>
        <vt:i4>425</vt:i4>
      </vt:variant>
      <vt:variant>
        <vt:i4>0</vt:i4>
      </vt:variant>
      <vt:variant>
        <vt:i4>5</vt:i4>
      </vt:variant>
      <vt:variant>
        <vt:lpwstr/>
      </vt:variant>
      <vt:variant>
        <vt:lpwstr>_Toc102392634</vt:lpwstr>
      </vt:variant>
      <vt:variant>
        <vt:i4>1376316</vt:i4>
      </vt:variant>
      <vt:variant>
        <vt:i4>419</vt:i4>
      </vt:variant>
      <vt:variant>
        <vt:i4>0</vt:i4>
      </vt:variant>
      <vt:variant>
        <vt:i4>5</vt:i4>
      </vt:variant>
      <vt:variant>
        <vt:lpwstr/>
      </vt:variant>
      <vt:variant>
        <vt:lpwstr>_Toc102392633</vt:lpwstr>
      </vt:variant>
      <vt:variant>
        <vt:i4>1376316</vt:i4>
      </vt:variant>
      <vt:variant>
        <vt:i4>413</vt:i4>
      </vt:variant>
      <vt:variant>
        <vt:i4>0</vt:i4>
      </vt:variant>
      <vt:variant>
        <vt:i4>5</vt:i4>
      </vt:variant>
      <vt:variant>
        <vt:lpwstr/>
      </vt:variant>
      <vt:variant>
        <vt:lpwstr>_Toc102392632</vt:lpwstr>
      </vt:variant>
      <vt:variant>
        <vt:i4>1376316</vt:i4>
      </vt:variant>
      <vt:variant>
        <vt:i4>407</vt:i4>
      </vt:variant>
      <vt:variant>
        <vt:i4>0</vt:i4>
      </vt:variant>
      <vt:variant>
        <vt:i4>5</vt:i4>
      </vt:variant>
      <vt:variant>
        <vt:lpwstr/>
      </vt:variant>
      <vt:variant>
        <vt:lpwstr>_Toc102392631</vt:lpwstr>
      </vt:variant>
      <vt:variant>
        <vt:i4>1376316</vt:i4>
      </vt:variant>
      <vt:variant>
        <vt:i4>401</vt:i4>
      </vt:variant>
      <vt:variant>
        <vt:i4>0</vt:i4>
      </vt:variant>
      <vt:variant>
        <vt:i4>5</vt:i4>
      </vt:variant>
      <vt:variant>
        <vt:lpwstr/>
      </vt:variant>
      <vt:variant>
        <vt:lpwstr>_Toc102392630</vt:lpwstr>
      </vt:variant>
      <vt:variant>
        <vt:i4>1310780</vt:i4>
      </vt:variant>
      <vt:variant>
        <vt:i4>395</vt:i4>
      </vt:variant>
      <vt:variant>
        <vt:i4>0</vt:i4>
      </vt:variant>
      <vt:variant>
        <vt:i4>5</vt:i4>
      </vt:variant>
      <vt:variant>
        <vt:lpwstr/>
      </vt:variant>
      <vt:variant>
        <vt:lpwstr>_Toc102392629</vt:lpwstr>
      </vt:variant>
      <vt:variant>
        <vt:i4>1310780</vt:i4>
      </vt:variant>
      <vt:variant>
        <vt:i4>389</vt:i4>
      </vt:variant>
      <vt:variant>
        <vt:i4>0</vt:i4>
      </vt:variant>
      <vt:variant>
        <vt:i4>5</vt:i4>
      </vt:variant>
      <vt:variant>
        <vt:lpwstr/>
      </vt:variant>
      <vt:variant>
        <vt:lpwstr>_Toc102392628</vt:lpwstr>
      </vt:variant>
      <vt:variant>
        <vt:i4>1310780</vt:i4>
      </vt:variant>
      <vt:variant>
        <vt:i4>383</vt:i4>
      </vt:variant>
      <vt:variant>
        <vt:i4>0</vt:i4>
      </vt:variant>
      <vt:variant>
        <vt:i4>5</vt:i4>
      </vt:variant>
      <vt:variant>
        <vt:lpwstr/>
      </vt:variant>
      <vt:variant>
        <vt:lpwstr>_Toc102392627</vt:lpwstr>
      </vt:variant>
      <vt:variant>
        <vt:i4>1310780</vt:i4>
      </vt:variant>
      <vt:variant>
        <vt:i4>377</vt:i4>
      </vt:variant>
      <vt:variant>
        <vt:i4>0</vt:i4>
      </vt:variant>
      <vt:variant>
        <vt:i4>5</vt:i4>
      </vt:variant>
      <vt:variant>
        <vt:lpwstr/>
      </vt:variant>
      <vt:variant>
        <vt:lpwstr>_Toc102392626</vt:lpwstr>
      </vt:variant>
      <vt:variant>
        <vt:i4>1310780</vt:i4>
      </vt:variant>
      <vt:variant>
        <vt:i4>371</vt:i4>
      </vt:variant>
      <vt:variant>
        <vt:i4>0</vt:i4>
      </vt:variant>
      <vt:variant>
        <vt:i4>5</vt:i4>
      </vt:variant>
      <vt:variant>
        <vt:lpwstr/>
      </vt:variant>
      <vt:variant>
        <vt:lpwstr>_Toc102392625</vt:lpwstr>
      </vt:variant>
      <vt:variant>
        <vt:i4>1310780</vt:i4>
      </vt:variant>
      <vt:variant>
        <vt:i4>365</vt:i4>
      </vt:variant>
      <vt:variant>
        <vt:i4>0</vt:i4>
      </vt:variant>
      <vt:variant>
        <vt:i4>5</vt:i4>
      </vt:variant>
      <vt:variant>
        <vt:lpwstr/>
      </vt:variant>
      <vt:variant>
        <vt:lpwstr>_Toc102392624</vt:lpwstr>
      </vt:variant>
      <vt:variant>
        <vt:i4>1310780</vt:i4>
      </vt:variant>
      <vt:variant>
        <vt:i4>359</vt:i4>
      </vt:variant>
      <vt:variant>
        <vt:i4>0</vt:i4>
      </vt:variant>
      <vt:variant>
        <vt:i4>5</vt:i4>
      </vt:variant>
      <vt:variant>
        <vt:lpwstr/>
      </vt:variant>
      <vt:variant>
        <vt:lpwstr>_Toc102392623</vt:lpwstr>
      </vt:variant>
      <vt:variant>
        <vt:i4>1310780</vt:i4>
      </vt:variant>
      <vt:variant>
        <vt:i4>353</vt:i4>
      </vt:variant>
      <vt:variant>
        <vt:i4>0</vt:i4>
      </vt:variant>
      <vt:variant>
        <vt:i4>5</vt:i4>
      </vt:variant>
      <vt:variant>
        <vt:lpwstr/>
      </vt:variant>
      <vt:variant>
        <vt:lpwstr>_Toc102392622</vt:lpwstr>
      </vt:variant>
      <vt:variant>
        <vt:i4>1310780</vt:i4>
      </vt:variant>
      <vt:variant>
        <vt:i4>347</vt:i4>
      </vt:variant>
      <vt:variant>
        <vt:i4>0</vt:i4>
      </vt:variant>
      <vt:variant>
        <vt:i4>5</vt:i4>
      </vt:variant>
      <vt:variant>
        <vt:lpwstr/>
      </vt:variant>
      <vt:variant>
        <vt:lpwstr>_Toc102392621</vt:lpwstr>
      </vt:variant>
      <vt:variant>
        <vt:i4>1310780</vt:i4>
      </vt:variant>
      <vt:variant>
        <vt:i4>341</vt:i4>
      </vt:variant>
      <vt:variant>
        <vt:i4>0</vt:i4>
      </vt:variant>
      <vt:variant>
        <vt:i4>5</vt:i4>
      </vt:variant>
      <vt:variant>
        <vt:lpwstr/>
      </vt:variant>
      <vt:variant>
        <vt:lpwstr>_Toc102392620</vt:lpwstr>
      </vt:variant>
      <vt:variant>
        <vt:i4>1507388</vt:i4>
      </vt:variant>
      <vt:variant>
        <vt:i4>335</vt:i4>
      </vt:variant>
      <vt:variant>
        <vt:i4>0</vt:i4>
      </vt:variant>
      <vt:variant>
        <vt:i4>5</vt:i4>
      </vt:variant>
      <vt:variant>
        <vt:lpwstr/>
      </vt:variant>
      <vt:variant>
        <vt:lpwstr>_Toc102392619</vt:lpwstr>
      </vt:variant>
      <vt:variant>
        <vt:i4>1507388</vt:i4>
      </vt:variant>
      <vt:variant>
        <vt:i4>329</vt:i4>
      </vt:variant>
      <vt:variant>
        <vt:i4>0</vt:i4>
      </vt:variant>
      <vt:variant>
        <vt:i4>5</vt:i4>
      </vt:variant>
      <vt:variant>
        <vt:lpwstr/>
      </vt:variant>
      <vt:variant>
        <vt:lpwstr>_Toc102392618</vt:lpwstr>
      </vt:variant>
      <vt:variant>
        <vt:i4>1507388</vt:i4>
      </vt:variant>
      <vt:variant>
        <vt:i4>323</vt:i4>
      </vt:variant>
      <vt:variant>
        <vt:i4>0</vt:i4>
      </vt:variant>
      <vt:variant>
        <vt:i4>5</vt:i4>
      </vt:variant>
      <vt:variant>
        <vt:lpwstr/>
      </vt:variant>
      <vt:variant>
        <vt:lpwstr>_Toc102392617</vt:lpwstr>
      </vt:variant>
      <vt:variant>
        <vt:i4>1507388</vt:i4>
      </vt:variant>
      <vt:variant>
        <vt:i4>317</vt:i4>
      </vt:variant>
      <vt:variant>
        <vt:i4>0</vt:i4>
      </vt:variant>
      <vt:variant>
        <vt:i4>5</vt:i4>
      </vt:variant>
      <vt:variant>
        <vt:lpwstr/>
      </vt:variant>
      <vt:variant>
        <vt:lpwstr>_Toc102392616</vt:lpwstr>
      </vt:variant>
      <vt:variant>
        <vt:i4>1507388</vt:i4>
      </vt:variant>
      <vt:variant>
        <vt:i4>311</vt:i4>
      </vt:variant>
      <vt:variant>
        <vt:i4>0</vt:i4>
      </vt:variant>
      <vt:variant>
        <vt:i4>5</vt:i4>
      </vt:variant>
      <vt:variant>
        <vt:lpwstr/>
      </vt:variant>
      <vt:variant>
        <vt:lpwstr>_Toc102392615</vt:lpwstr>
      </vt:variant>
      <vt:variant>
        <vt:i4>1507388</vt:i4>
      </vt:variant>
      <vt:variant>
        <vt:i4>305</vt:i4>
      </vt:variant>
      <vt:variant>
        <vt:i4>0</vt:i4>
      </vt:variant>
      <vt:variant>
        <vt:i4>5</vt:i4>
      </vt:variant>
      <vt:variant>
        <vt:lpwstr/>
      </vt:variant>
      <vt:variant>
        <vt:lpwstr>_Toc102392614</vt:lpwstr>
      </vt:variant>
      <vt:variant>
        <vt:i4>1507388</vt:i4>
      </vt:variant>
      <vt:variant>
        <vt:i4>299</vt:i4>
      </vt:variant>
      <vt:variant>
        <vt:i4>0</vt:i4>
      </vt:variant>
      <vt:variant>
        <vt:i4>5</vt:i4>
      </vt:variant>
      <vt:variant>
        <vt:lpwstr/>
      </vt:variant>
      <vt:variant>
        <vt:lpwstr>_Toc102392613</vt:lpwstr>
      </vt:variant>
      <vt:variant>
        <vt:i4>1507388</vt:i4>
      </vt:variant>
      <vt:variant>
        <vt:i4>293</vt:i4>
      </vt:variant>
      <vt:variant>
        <vt:i4>0</vt:i4>
      </vt:variant>
      <vt:variant>
        <vt:i4>5</vt:i4>
      </vt:variant>
      <vt:variant>
        <vt:lpwstr/>
      </vt:variant>
      <vt:variant>
        <vt:lpwstr>_Toc102392612</vt:lpwstr>
      </vt:variant>
      <vt:variant>
        <vt:i4>1507388</vt:i4>
      </vt:variant>
      <vt:variant>
        <vt:i4>287</vt:i4>
      </vt:variant>
      <vt:variant>
        <vt:i4>0</vt:i4>
      </vt:variant>
      <vt:variant>
        <vt:i4>5</vt:i4>
      </vt:variant>
      <vt:variant>
        <vt:lpwstr/>
      </vt:variant>
      <vt:variant>
        <vt:lpwstr>_Toc102392611</vt:lpwstr>
      </vt:variant>
      <vt:variant>
        <vt:i4>1507388</vt:i4>
      </vt:variant>
      <vt:variant>
        <vt:i4>281</vt:i4>
      </vt:variant>
      <vt:variant>
        <vt:i4>0</vt:i4>
      </vt:variant>
      <vt:variant>
        <vt:i4>5</vt:i4>
      </vt:variant>
      <vt:variant>
        <vt:lpwstr/>
      </vt:variant>
      <vt:variant>
        <vt:lpwstr>_Toc102392610</vt:lpwstr>
      </vt:variant>
      <vt:variant>
        <vt:i4>1441852</vt:i4>
      </vt:variant>
      <vt:variant>
        <vt:i4>275</vt:i4>
      </vt:variant>
      <vt:variant>
        <vt:i4>0</vt:i4>
      </vt:variant>
      <vt:variant>
        <vt:i4>5</vt:i4>
      </vt:variant>
      <vt:variant>
        <vt:lpwstr/>
      </vt:variant>
      <vt:variant>
        <vt:lpwstr>_Toc102392609</vt:lpwstr>
      </vt:variant>
      <vt:variant>
        <vt:i4>1966138</vt:i4>
      </vt:variant>
      <vt:variant>
        <vt:i4>266</vt:i4>
      </vt:variant>
      <vt:variant>
        <vt:i4>0</vt:i4>
      </vt:variant>
      <vt:variant>
        <vt:i4>5</vt:i4>
      </vt:variant>
      <vt:variant>
        <vt:lpwstr/>
      </vt:variant>
      <vt:variant>
        <vt:lpwstr>_Toc89107949</vt:lpwstr>
      </vt:variant>
      <vt:variant>
        <vt:i4>2031674</vt:i4>
      </vt:variant>
      <vt:variant>
        <vt:i4>260</vt:i4>
      </vt:variant>
      <vt:variant>
        <vt:i4>0</vt:i4>
      </vt:variant>
      <vt:variant>
        <vt:i4>5</vt:i4>
      </vt:variant>
      <vt:variant>
        <vt:lpwstr/>
      </vt:variant>
      <vt:variant>
        <vt:lpwstr>_Toc89107948</vt:lpwstr>
      </vt:variant>
      <vt:variant>
        <vt:i4>1048634</vt:i4>
      </vt:variant>
      <vt:variant>
        <vt:i4>254</vt:i4>
      </vt:variant>
      <vt:variant>
        <vt:i4>0</vt:i4>
      </vt:variant>
      <vt:variant>
        <vt:i4>5</vt:i4>
      </vt:variant>
      <vt:variant>
        <vt:lpwstr/>
      </vt:variant>
      <vt:variant>
        <vt:lpwstr>_Toc89107947</vt:lpwstr>
      </vt:variant>
      <vt:variant>
        <vt:i4>1114170</vt:i4>
      </vt:variant>
      <vt:variant>
        <vt:i4>248</vt:i4>
      </vt:variant>
      <vt:variant>
        <vt:i4>0</vt:i4>
      </vt:variant>
      <vt:variant>
        <vt:i4>5</vt:i4>
      </vt:variant>
      <vt:variant>
        <vt:lpwstr/>
      </vt:variant>
      <vt:variant>
        <vt:lpwstr>_Toc89107946</vt:lpwstr>
      </vt:variant>
      <vt:variant>
        <vt:i4>1179706</vt:i4>
      </vt:variant>
      <vt:variant>
        <vt:i4>242</vt:i4>
      </vt:variant>
      <vt:variant>
        <vt:i4>0</vt:i4>
      </vt:variant>
      <vt:variant>
        <vt:i4>5</vt:i4>
      </vt:variant>
      <vt:variant>
        <vt:lpwstr/>
      </vt:variant>
      <vt:variant>
        <vt:lpwstr>_Toc89107945</vt:lpwstr>
      </vt:variant>
      <vt:variant>
        <vt:i4>1245242</vt:i4>
      </vt:variant>
      <vt:variant>
        <vt:i4>236</vt:i4>
      </vt:variant>
      <vt:variant>
        <vt:i4>0</vt:i4>
      </vt:variant>
      <vt:variant>
        <vt:i4>5</vt:i4>
      </vt:variant>
      <vt:variant>
        <vt:lpwstr/>
      </vt:variant>
      <vt:variant>
        <vt:lpwstr>_Toc89107944</vt:lpwstr>
      </vt:variant>
      <vt:variant>
        <vt:i4>1310778</vt:i4>
      </vt:variant>
      <vt:variant>
        <vt:i4>230</vt:i4>
      </vt:variant>
      <vt:variant>
        <vt:i4>0</vt:i4>
      </vt:variant>
      <vt:variant>
        <vt:i4>5</vt:i4>
      </vt:variant>
      <vt:variant>
        <vt:lpwstr/>
      </vt:variant>
      <vt:variant>
        <vt:lpwstr>_Toc89107943</vt:lpwstr>
      </vt:variant>
      <vt:variant>
        <vt:i4>1376314</vt:i4>
      </vt:variant>
      <vt:variant>
        <vt:i4>224</vt:i4>
      </vt:variant>
      <vt:variant>
        <vt:i4>0</vt:i4>
      </vt:variant>
      <vt:variant>
        <vt:i4>5</vt:i4>
      </vt:variant>
      <vt:variant>
        <vt:lpwstr/>
      </vt:variant>
      <vt:variant>
        <vt:lpwstr>_Toc89107942</vt:lpwstr>
      </vt:variant>
      <vt:variant>
        <vt:i4>1441850</vt:i4>
      </vt:variant>
      <vt:variant>
        <vt:i4>218</vt:i4>
      </vt:variant>
      <vt:variant>
        <vt:i4>0</vt:i4>
      </vt:variant>
      <vt:variant>
        <vt:i4>5</vt:i4>
      </vt:variant>
      <vt:variant>
        <vt:lpwstr/>
      </vt:variant>
      <vt:variant>
        <vt:lpwstr>_Toc89107941</vt:lpwstr>
      </vt:variant>
      <vt:variant>
        <vt:i4>1507386</vt:i4>
      </vt:variant>
      <vt:variant>
        <vt:i4>212</vt:i4>
      </vt:variant>
      <vt:variant>
        <vt:i4>0</vt:i4>
      </vt:variant>
      <vt:variant>
        <vt:i4>5</vt:i4>
      </vt:variant>
      <vt:variant>
        <vt:lpwstr/>
      </vt:variant>
      <vt:variant>
        <vt:lpwstr>_Toc89107940</vt:lpwstr>
      </vt:variant>
      <vt:variant>
        <vt:i4>1966141</vt:i4>
      </vt:variant>
      <vt:variant>
        <vt:i4>206</vt:i4>
      </vt:variant>
      <vt:variant>
        <vt:i4>0</vt:i4>
      </vt:variant>
      <vt:variant>
        <vt:i4>5</vt:i4>
      </vt:variant>
      <vt:variant>
        <vt:lpwstr/>
      </vt:variant>
      <vt:variant>
        <vt:lpwstr>_Toc89107939</vt:lpwstr>
      </vt:variant>
      <vt:variant>
        <vt:i4>2031677</vt:i4>
      </vt:variant>
      <vt:variant>
        <vt:i4>200</vt:i4>
      </vt:variant>
      <vt:variant>
        <vt:i4>0</vt:i4>
      </vt:variant>
      <vt:variant>
        <vt:i4>5</vt:i4>
      </vt:variant>
      <vt:variant>
        <vt:lpwstr/>
      </vt:variant>
      <vt:variant>
        <vt:lpwstr>_Toc89107938</vt:lpwstr>
      </vt:variant>
      <vt:variant>
        <vt:i4>1048637</vt:i4>
      </vt:variant>
      <vt:variant>
        <vt:i4>194</vt:i4>
      </vt:variant>
      <vt:variant>
        <vt:i4>0</vt:i4>
      </vt:variant>
      <vt:variant>
        <vt:i4>5</vt:i4>
      </vt:variant>
      <vt:variant>
        <vt:lpwstr/>
      </vt:variant>
      <vt:variant>
        <vt:lpwstr>_Toc89107937</vt:lpwstr>
      </vt:variant>
      <vt:variant>
        <vt:i4>1114173</vt:i4>
      </vt:variant>
      <vt:variant>
        <vt:i4>188</vt:i4>
      </vt:variant>
      <vt:variant>
        <vt:i4>0</vt:i4>
      </vt:variant>
      <vt:variant>
        <vt:i4>5</vt:i4>
      </vt:variant>
      <vt:variant>
        <vt:lpwstr/>
      </vt:variant>
      <vt:variant>
        <vt:lpwstr>_Toc89107936</vt:lpwstr>
      </vt:variant>
      <vt:variant>
        <vt:i4>1179709</vt:i4>
      </vt:variant>
      <vt:variant>
        <vt:i4>182</vt:i4>
      </vt:variant>
      <vt:variant>
        <vt:i4>0</vt:i4>
      </vt:variant>
      <vt:variant>
        <vt:i4>5</vt:i4>
      </vt:variant>
      <vt:variant>
        <vt:lpwstr/>
      </vt:variant>
      <vt:variant>
        <vt:lpwstr>_Toc89107935</vt:lpwstr>
      </vt:variant>
      <vt:variant>
        <vt:i4>1245245</vt:i4>
      </vt:variant>
      <vt:variant>
        <vt:i4>176</vt:i4>
      </vt:variant>
      <vt:variant>
        <vt:i4>0</vt:i4>
      </vt:variant>
      <vt:variant>
        <vt:i4>5</vt:i4>
      </vt:variant>
      <vt:variant>
        <vt:lpwstr/>
      </vt:variant>
      <vt:variant>
        <vt:lpwstr>_Toc89107934</vt:lpwstr>
      </vt:variant>
      <vt:variant>
        <vt:i4>1310781</vt:i4>
      </vt:variant>
      <vt:variant>
        <vt:i4>170</vt:i4>
      </vt:variant>
      <vt:variant>
        <vt:i4>0</vt:i4>
      </vt:variant>
      <vt:variant>
        <vt:i4>5</vt:i4>
      </vt:variant>
      <vt:variant>
        <vt:lpwstr/>
      </vt:variant>
      <vt:variant>
        <vt:lpwstr>_Toc89107933</vt:lpwstr>
      </vt:variant>
      <vt:variant>
        <vt:i4>1376317</vt:i4>
      </vt:variant>
      <vt:variant>
        <vt:i4>164</vt:i4>
      </vt:variant>
      <vt:variant>
        <vt:i4>0</vt:i4>
      </vt:variant>
      <vt:variant>
        <vt:i4>5</vt:i4>
      </vt:variant>
      <vt:variant>
        <vt:lpwstr/>
      </vt:variant>
      <vt:variant>
        <vt:lpwstr>_Toc89107932</vt:lpwstr>
      </vt:variant>
      <vt:variant>
        <vt:i4>1441853</vt:i4>
      </vt:variant>
      <vt:variant>
        <vt:i4>158</vt:i4>
      </vt:variant>
      <vt:variant>
        <vt:i4>0</vt:i4>
      </vt:variant>
      <vt:variant>
        <vt:i4>5</vt:i4>
      </vt:variant>
      <vt:variant>
        <vt:lpwstr/>
      </vt:variant>
      <vt:variant>
        <vt:lpwstr>_Toc89107931</vt:lpwstr>
      </vt:variant>
      <vt:variant>
        <vt:i4>1507389</vt:i4>
      </vt:variant>
      <vt:variant>
        <vt:i4>152</vt:i4>
      </vt:variant>
      <vt:variant>
        <vt:i4>0</vt:i4>
      </vt:variant>
      <vt:variant>
        <vt:i4>5</vt:i4>
      </vt:variant>
      <vt:variant>
        <vt:lpwstr/>
      </vt:variant>
      <vt:variant>
        <vt:lpwstr>_Toc89107930</vt:lpwstr>
      </vt:variant>
      <vt:variant>
        <vt:i4>1966140</vt:i4>
      </vt:variant>
      <vt:variant>
        <vt:i4>146</vt:i4>
      </vt:variant>
      <vt:variant>
        <vt:i4>0</vt:i4>
      </vt:variant>
      <vt:variant>
        <vt:i4>5</vt:i4>
      </vt:variant>
      <vt:variant>
        <vt:lpwstr/>
      </vt:variant>
      <vt:variant>
        <vt:lpwstr>_Toc89107929</vt:lpwstr>
      </vt:variant>
      <vt:variant>
        <vt:i4>2031676</vt:i4>
      </vt:variant>
      <vt:variant>
        <vt:i4>140</vt:i4>
      </vt:variant>
      <vt:variant>
        <vt:i4>0</vt:i4>
      </vt:variant>
      <vt:variant>
        <vt:i4>5</vt:i4>
      </vt:variant>
      <vt:variant>
        <vt:lpwstr/>
      </vt:variant>
      <vt:variant>
        <vt:lpwstr>_Toc89107928</vt:lpwstr>
      </vt:variant>
      <vt:variant>
        <vt:i4>1048636</vt:i4>
      </vt:variant>
      <vt:variant>
        <vt:i4>134</vt:i4>
      </vt:variant>
      <vt:variant>
        <vt:i4>0</vt:i4>
      </vt:variant>
      <vt:variant>
        <vt:i4>5</vt:i4>
      </vt:variant>
      <vt:variant>
        <vt:lpwstr/>
      </vt:variant>
      <vt:variant>
        <vt:lpwstr>_Toc89107927</vt:lpwstr>
      </vt:variant>
      <vt:variant>
        <vt:i4>1114172</vt:i4>
      </vt:variant>
      <vt:variant>
        <vt:i4>128</vt:i4>
      </vt:variant>
      <vt:variant>
        <vt:i4>0</vt:i4>
      </vt:variant>
      <vt:variant>
        <vt:i4>5</vt:i4>
      </vt:variant>
      <vt:variant>
        <vt:lpwstr/>
      </vt:variant>
      <vt:variant>
        <vt:lpwstr>_Toc89107926</vt:lpwstr>
      </vt:variant>
      <vt:variant>
        <vt:i4>1179708</vt:i4>
      </vt:variant>
      <vt:variant>
        <vt:i4>122</vt:i4>
      </vt:variant>
      <vt:variant>
        <vt:i4>0</vt:i4>
      </vt:variant>
      <vt:variant>
        <vt:i4>5</vt:i4>
      </vt:variant>
      <vt:variant>
        <vt:lpwstr/>
      </vt:variant>
      <vt:variant>
        <vt:lpwstr>_Toc89107925</vt:lpwstr>
      </vt:variant>
      <vt:variant>
        <vt:i4>1245244</vt:i4>
      </vt:variant>
      <vt:variant>
        <vt:i4>116</vt:i4>
      </vt:variant>
      <vt:variant>
        <vt:i4>0</vt:i4>
      </vt:variant>
      <vt:variant>
        <vt:i4>5</vt:i4>
      </vt:variant>
      <vt:variant>
        <vt:lpwstr/>
      </vt:variant>
      <vt:variant>
        <vt:lpwstr>_Toc89107924</vt:lpwstr>
      </vt:variant>
      <vt:variant>
        <vt:i4>1310780</vt:i4>
      </vt:variant>
      <vt:variant>
        <vt:i4>110</vt:i4>
      </vt:variant>
      <vt:variant>
        <vt:i4>0</vt:i4>
      </vt:variant>
      <vt:variant>
        <vt:i4>5</vt:i4>
      </vt:variant>
      <vt:variant>
        <vt:lpwstr/>
      </vt:variant>
      <vt:variant>
        <vt:lpwstr>_Toc89107923</vt:lpwstr>
      </vt:variant>
      <vt:variant>
        <vt:i4>1376316</vt:i4>
      </vt:variant>
      <vt:variant>
        <vt:i4>104</vt:i4>
      </vt:variant>
      <vt:variant>
        <vt:i4>0</vt:i4>
      </vt:variant>
      <vt:variant>
        <vt:i4>5</vt:i4>
      </vt:variant>
      <vt:variant>
        <vt:lpwstr/>
      </vt:variant>
      <vt:variant>
        <vt:lpwstr>_Toc89107922</vt:lpwstr>
      </vt:variant>
      <vt:variant>
        <vt:i4>1441852</vt:i4>
      </vt:variant>
      <vt:variant>
        <vt:i4>98</vt:i4>
      </vt:variant>
      <vt:variant>
        <vt:i4>0</vt:i4>
      </vt:variant>
      <vt:variant>
        <vt:i4>5</vt:i4>
      </vt:variant>
      <vt:variant>
        <vt:lpwstr/>
      </vt:variant>
      <vt:variant>
        <vt:lpwstr>_Toc89107921</vt:lpwstr>
      </vt:variant>
      <vt:variant>
        <vt:i4>1507388</vt:i4>
      </vt:variant>
      <vt:variant>
        <vt:i4>92</vt:i4>
      </vt:variant>
      <vt:variant>
        <vt:i4>0</vt:i4>
      </vt:variant>
      <vt:variant>
        <vt:i4>5</vt:i4>
      </vt:variant>
      <vt:variant>
        <vt:lpwstr/>
      </vt:variant>
      <vt:variant>
        <vt:lpwstr>_Toc89107920</vt:lpwstr>
      </vt:variant>
      <vt:variant>
        <vt:i4>1966143</vt:i4>
      </vt:variant>
      <vt:variant>
        <vt:i4>86</vt:i4>
      </vt:variant>
      <vt:variant>
        <vt:i4>0</vt:i4>
      </vt:variant>
      <vt:variant>
        <vt:i4>5</vt:i4>
      </vt:variant>
      <vt:variant>
        <vt:lpwstr/>
      </vt:variant>
      <vt:variant>
        <vt:lpwstr>_Toc89107919</vt:lpwstr>
      </vt:variant>
      <vt:variant>
        <vt:i4>2031679</vt:i4>
      </vt:variant>
      <vt:variant>
        <vt:i4>80</vt:i4>
      </vt:variant>
      <vt:variant>
        <vt:i4>0</vt:i4>
      </vt:variant>
      <vt:variant>
        <vt:i4>5</vt:i4>
      </vt:variant>
      <vt:variant>
        <vt:lpwstr/>
      </vt:variant>
      <vt:variant>
        <vt:lpwstr>_Toc89107918</vt:lpwstr>
      </vt:variant>
      <vt:variant>
        <vt:i4>1048639</vt:i4>
      </vt:variant>
      <vt:variant>
        <vt:i4>74</vt:i4>
      </vt:variant>
      <vt:variant>
        <vt:i4>0</vt:i4>
      </vt:variant>
      <vt:variant>
        <vt:i4>5</vt:i4>
      </vt:variant>
      <vt:variant>
        <vt:lpwstr/>
      </vt:variant>
      <vt:variant>
        <vt:lpwstr>_Toc89107917</vt:lpwstr>
      </vt:variant>
      <vt:variant>
        <vt:i4>1114175</vt:i4>
      </vt:variant>
      <vt:variant>
        <vt:i4>68</vt:i4>
      </vt:variant>
      <vt:variant>
        <vt:i4>0</vt:i4>
      </vt:variant>
      <vt:variant>
        <vt:i4>5</vt:i4>
      </vt:variant>
      <vt:variant>
        <vt:lpwstr/>
      </vt:variant>
      <vt:variant>
        <vt:lpwstr>_Toc89107916</vt:lpwstr>
      </vt:variant>
      <vt:variant>
        <vt:i4>1179711</vt:i4>
      </vt:variant>
      <vt:variant>
        <vt:i4>62</vt:i4>
      </vt:variant>
      <vt:variant>
        <vt:i4>0</vt:i4>
      </vt:variant>
      <vt:variant>
        <vt:i4>5</vt:i4>
      </vt:variant>
      <vt:variant>
        <vt:lpwstr/>
      </vt:variant>
      <vt:variant>
        <vt:lpwstr>_Toc89107915</vt:lpwstr>
      </vt:variant>
      <vt:variant>
        <vt:i4>1245247</vt:i4>
      </vt:variant>
      <vt:variant>
        <vt:i4>56</vt:i4>
      </vt:variant>
      <vt:variant>
        <vt:i4>0</vt:i4>
      </vt:variant>
      <vt:variant>
        <vt:i4>5</vt:i4>
      </vt:variant>
      <vt:variant>
        <vt:lpwstr/>
      </vt:variant>
      <vt:variant>
        <vt:lpwstr>_Toc89107914</vt:lpwstr>
      </vt:variant>
      <vt:variant>
        <vt:i4>1310783</vt:i4>
      </vt:variant>
      <vt:variant>
        <vt:i4>50</vt:i4>
      </vt:variant>
      <vt:variant>
        <vt:i4>0</vt:i4>
      </vt:variant>
      <vt:variant>
        <vt:i4>5</vt:i4>
      </vt:variant>
      <vt:variant>
        <vt:lpwstr/>
      </vt:variant>
      <vt:variant>
        <vt:lpwstr>_Toc89107913</vt:lpwstr>
      </vt:variant>
      <vt:variant>
        <vt:i4>1376319</vt:i4>
      </vt:variant>
      <vt:variant>
        <vt:i4>44</vt:i4>
      </vt:variant>
      <vt:variant>
        <vt:i4>0</vt:i4>
      </vt:variant>
      <vt:variant>
        <vt:i4>5</vt:i4>
      </vt:variant>
      <vt:variant>
        <vt:lpwstr/>
      </vt:variant>
      <vt:variant>
        <vt:lpwstr>_Toc89107912</vt:lpwstr>
      </vt:variant>
      <vt:variant>
        <vt:i4>1441855</vt:i4>
      </vt:variant>
      <vt:variant>
        <vt:i4>38</vt:i4>
      </vt:variant>
      <vt:variant>
        <vt:i4>0</vt:i4>
      </vt:variant>
      <vt:variant>
        <vt:i4>5</vt:i4>
      </vt:variant>
      <vt:variant>
        <vt:lpwstr/>
      </vt:variant>
      <vt:variant>
        <vt:lpwstr>_Toc89107911</vt:lpwstr>
      </vt:variant>
      <vt:variant>
        <vt:i4>1507391</vt:i4>
      </vt:variant>
      <vt:variant>
        <vt:i4>32</vt:i4>
      </vt:variant>
      <vt:variant>
        <vt:i4>0</vt:i4>
      </vt:variant>
      <vt:variant>
        <vt:i4>5</vt:i4>
      </vt:variant>
      <vt:variant>
        <vt:lpwstr/>
      </vt:variant>
      <vt:variant>
        <vt:lpwstr>_Toc89107910</vt:lpwstr>
      </vt:variant>
      <vt:variant>
        <vt:i4>1966142</vt:i4>
      </vt:variant>
      <vt:variant>
        <vt:i4>26</vt:i4>
      </vt:variant>
      <vt:variant>
        <vt:i4>0</vt:i4>
      </vt:variant>
      <vt:variant>
        <vt:i4>5</vt:i4>
      </vt:variant>
      <vt:variant>
        <vt:lpwstr/>
      </vt:variant>
      <vt:variant>
        <vt:lpwstr>_Toc89107909</vt:lpwstr>
      </vt:variant>
      <vt:variant>
        <vt:i4>2031678</vt:i4>
      </vt:variant>
      <vt:variant>
        <vt:i4>20</vt:i4>
      </vt:variant>
      <vt:variant>
        <vt:i4>0</vt:i4>
      </vt:variant>
      <vt:variant>
        <vt:i4>5</vt:i4>
      </vt:variant>
      <vt:variant>
        <vt:lpwstr/>
      </vt:variant>
      <vt:variant>
        <vt:lpwstr>_Toc89107908</vt:lpwstr>
      </vt:variant>
      <vt:variant>
        <vt:i4>1048638</vt:i4>
      </vt:variant>
      <vt:variant>
        <vt:i4>14</vt:i4>
      </vt:variant>
      <vt:variant>
        <vt:i4>0</vt:i4>
      </vt:variant>
      <vt:variant>
        <vt:i4>5</vt:i4>
      </vt:variant>
      <vt:variant>
        <vt:lpwstr/>
      </vt:variant>
      <vt:variant>
        <vt:lpwstr>_Toc89107907</vt:lpwstr>
      </vt:variant>
      <vt:variant>
        <vt:i4>1114174</vt:i4>
      </vt:variant>
      <vt:variant>
        <vt:i4>8</vt:i4>
      </vt:variant>
      <vt:variant>
        <vt:i4>0</vt:i4>
      </vt:variant>
      <vt:variant>
        <vt:i4>5</vt:i4>
      </vt:variant>
      <vt:variant>
        <vt:lpwstr/>
      </vt:variant>
      <vt:variant>
        <vt:lpwstr>_Toc89107906</vt:lpwstr>
      </vt:variant>
      <vt:variant>
        <vt:i4>1179710</vt:i4>
      </vt:variant>
      <vt:variant>
        <vt:i4>2</vt:i4>
      </vt:variant>
      <vt:variant>
        <vt:i4>0</vt:i4>
      </vt:variant>
      <vt:variant>
        <vt:i4>5</vt:i4>
      </vt:variant>
      <vt:variant>
        <vt:lpwstr/>
      </vt:variant>
      <vt:variant>
        <vt:lpwstr>_Toc89107905</vt:lpwstr>
      </vt:variant>
      <vt:variant>
        <vt:i4>7929943</vt:i4>
      </vt:variant>
      <vt:variant>
        <vt:i4>39</vt:i4>
      </vt:variant>
      <vt:variant>
        <vt:i4>0</vt:i4>
      </vt:variant>
      <vt:variant>
        <vt:i4>5</vt:i4>
      </vt:variant>
      <vt:variant>
        <vt:lpwstr>mailto:jdaher@actionagainsthunger.ca</vt:lpwstr>
      </vt:variant>
      <vt:variant>
        <vt:lpwstr/>
      </vt:variant>
      <vt:variant>
        <vt:i4>327738</vt:i4>
      </vt:variant>
      <vt:variant>
        <vt:i4>36</vt:i4>
      </vt:variant>
      <vt:variant>
        <vt:i4>0</vt:i4>
      </vt:variant>
      <vt:variant>
        <vt:i4>5</vt:i4>
      </vt:variant>
      <vt:variant>
        <vt:lpwstr>mailto:rpilliardhellwig@actionagainsthunger.ca</vt:lpwstr>
      </vt:variant>
      <vt:variant>
        <vt:lpwstr/>
      </vt:variant>
      <vt:variant>
        <vt:i4>327738</vt:i4>
      </vt:variant>
      <vt:variant>
        <vt:i4>33</vt:i4>
      </vt:variant>
      <vt:variant>
        <vt:i4>0</vt:i4>
      </vt:variant>
      <vt:variant>
        <vt:i4>5</vt:i4>
      </vt:variant>
      <vt:variant>
        <vt:lpwstr>mailto:rpilliardhellwig@actionagainsthunger.ca</vt:lpwstr>
      </vt:variant>
      <vt:variant>
        <vt:lpwstr/>
      </vt:variant>
      <vt:variant>
        <vt:i4>7929943</vt:i4>
      </vt:variant>
      <vt:variant>
        <vt:i4>30</vt:i4>
      </vt:variant>
      <vt:variant>
        <vt:i4>0</vt:i4>
      </vt:variant>
      <vt:variant>
        <vt:i4>5</vt:i4>
      </vt:variant>
      <vt:variant>
        <vt:lpwstr>mailto:jdaher@actionagainsthunger.ca</vt:lpwstr>
      </vt:variant>
      <vt:variant>
        <vt:lpwstr/>
      </vt:variant>
      <vt:variant>
        <vt:i4>327738</vt:i4>
      </vt:variant>
      <vt:variant>
        <vt:i4>27</vt:i4>
      </vt:variant>
      <vt:variant>
        <vt:i4>0</vt:i4>
      </vt:variant>
      <vt:variant>
        <vt:i4>5</vt:i4>
      </vt:variant>
      <vt:variant>
        <vt:lpwstr>mailto:rpilliardhellwig@actionagainsthunger.ca</vt:lpwstr>
      </vt:variant>
      <vt:variant>
        <vt:lpwstr/>
      </vt:variant>
      <vt:variant>
        <vt:i4>327738</vt:i4>
      </vt:variant>
      <vt:variant>
        <vt:i4>24</vt:i4>
      </vt:variant>
      <vt:variant>
        <vt:i4>0</vt:i4>
      </vt:variant>
      <vt:variant>
        <vt:i4>5</vt:i4>
      </vt:variant>
      <vt:variant>
        <vt:lpwstr>mailto:rpilliardhellwig@actionagainsthunger.ca</vt:lpwstr>
      </vt:variant>
      <vt:variant>
        <vt:lpwstr/>
      </vt:variant>
      <vt:variant>
        <vt:i4>327738</vt:i4>
      </vt:variant>
      <vt:variant>
        <vt:i4>21</vt:i4>
      </vt:variant>
      <vt:variant>
        <vt:i4>0</vt:i4>
      </vt:variant>
      <vt:variant>
        <vt:i4>5</vt:i4>
      </vt:variant>
      <vt:variant>
        <vt:lpwstr>mailto:rpilliardhellwig@actionagainsthunger.ca</vt:lpwstr>
      </vt:variant>
      <vt:variant>
        <vt:lpwstr/>
      </vt:variant>
      <vt:variant>
        <vt:i4>327738</vt:i4>
      </vt:variant>
      <vt:variant>
        <vt:i4>18</vt:i4>
      </vt:variant>
      <vt:variant>
        <vt:i4>0</vt:i4>
      </vt:variant>
      <vt:variant>
        <vt:i4>5</vt:i4>
      </vt:variant>
      <vt:variant>
        <vt:lpwstr>mailto:rpilliardhellwig@actionagainsthunger.ca</vt:lpwstr>
      </vt:variant>
      <vt:variant>
        <vt:lpwstr/>
      </vt:variant>
      <vt:variant>
        <vt:i4>7929943</vt:i4>
      </vt:variant>
      <vt:variant>
        <vt:i4>15</vt:i4>
      </vt:variant>
      <vt:variant>
        <vt:i4>0</vt:i4>
      </vt:variant>
      <vt:variant>
        <vt:i4>5</vt:i4>
      </vt:variant>
      <vt:variant>
        <vt:lpwstr>mailto:jdaher@actionagainsthunger.ca</vt:lpwstr>
      </vt:variant>
      <vt:variant>
        <vt:lpwstr/>
      </vt:variant>
      <vt:variant>
        <vt:i4>327738</vt:i4>
      </vt:variant>
      <vt:variant>
        <vt:i4>12</vt:i4>
      </vt:variant>
      <vt:variant>
        <vt:i4>0</vt:i4>
      </vt:variant>
      <vt:variant>
        <vt:i4>5</vt:i4>
      </vt:variant>
      <vt:variant>
        <vt:lpwstr>mailto:rpilliardhellwig@actionagainsthunger.ca</vt:lpwstr>
      </vt:variant>
      <vt:variant>
        <vt:lpwstr/>
      </vt:variant>
      <vt:variant>
        <vt:i4>327738</vt:i4>
      </vt:variant>
      <vt:variant>
        <vt:i4>9</vt:i4>
      </vt:variant>
      <vt:variant>
        <vt:i4>0</vt:i4>
      </vt:variant>
      <vt:variant>
        <vt:i4>5</vt:i4>
      </vt:variant>
      <vt:variant>
        <vt:lpwstr>mailto:rpilliardhellwig@actionagainsthunger.ca</vt:lpwstr>
      </vt:variant>
      <vt:variant>
        <vt:lpwstr/>
      </vt:variant>
      <vt:variant>
        <vt:i4>327738</vt:i4>
      </vt:variant>
      <vt:variant>
        <vt:i4>6</vt:i4>
      </vt:variant>
      <vt:variant>
        <vt:i4>0</vt:i4>
      </vt:variant>
      <vt:variant>
        <vt:i4>5</vt:i4>
      </vt:variant>
      <vt:variant>
        <vt:lpwstr>mailto:rpilliardhellwig@actionagainsthunger.ca</vt:lpwstr>
      </vt:variant>
      <vt:variant>
        <vt:lpwstr/>
      </vt:variant>
      <vt:variant>
        <vt:i4>8192068</vt:i4>
      </vt:variant>
      <vt:variant>
        <vt:i4>3</vt:i4>
      </vt:variant>
      <vt:variant>
        <vt:i4>0</vt:i4>
      </vt:variant>
      <vt:variant>
        <vt:i4>5</vt:i4>
      </vt:variant>
      <vt:variant>
        <vt:lpwstr>mailto:mbraun@actionagainsthunger.ca</vt:lpwstr>
      </vt:variant>
      <vt:variant>
        <vt:lpwstr/>
      </vt:variant>
      <vt:variant>
        <vt:i4>327738</vt:i4>
      </vt:variant>
      <vt:variant>
        <vt:i4>0</vt:i4>
      </vt:variant>
      <vt:variant>
        <vt:i4>0</vt:i4>
      </vt:variant>
      <vt:variant>
        <vt:i4>5</vt:i4>
      </vt:variant>
      <vt:variant>
        <vt:lpwstr>mailto:rpilliardhellwig@actionagainsthunger.ca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SMART+ Survey Report Template</dc:description>
  <cp:lastModifiedBy>Brian Asande</cp:lastModifiedBy>
  <cp:revision>20</cp:revision>
  <dcterms:created xsi:type="dcterms:W3CDTF">2024-02-15T15:21:00Z</dcterms:created>
  <dcterms:modified xsi:type="dcterms:W3CDTF">2024-03-25T04:47:00Z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style">
    <vt:lpwstr>apalike</vt:lpwstr>
  </property>
  <property fmtid="{D5CDD505-2E9C-101B-9397-08002B2CF9AE}" pid="3" name="bibliography">
    <vt:lpwstr>references.bib</vt:lpwstr>
  </property>
  <property fmtid="{D5CDD505-2E9C-101B-9397-08002B2CF9AE}" pid="4" name="bookdown">
    <vt:lpwstr/>
  </property>
  <property fmtid="{D5CDD505-2E9C-101B-9397-08002B2CF9AE}" pid="5" name="documentclass">
    <vt:lpwstr>book</vt:lpwstr>
  </property>
  <property fmtid="{D5CDD505-2E9C-101B-9397-08002B2CF9AE}" pid="6" name="editor_options">
    <vt:lpwstr/>
  </property>
  <property fmtid="{D5CDD505-2E9C-101B-9397-08002B2CF9AE}" pid="7" name="link-citations">
    <vt:lpwstr>True</vt:lpwstr>
  </property>
  <property fmtid="{D5CDD505-2E9C-101B-9397-08002B2CF9AE}" pid="8" name="output">
    <vt:lpwstr>word_document</vt:lpwstr>
  </property>
  <property fmtid="{D5CDD505-2E9C-101B-9397-08002B2CF9AE}" pid="9" name="site">
    <vt:lpwstr>bookdown::bookdown_site</vt:lpwstr>
  </property>
</Properties>
</file>